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E45E" w14:textId="440FEC2B" w:rsidR="003D2029" w:rsidRDefault="003D2029" w:rsidP="003D2029">
      <w:pPr>
        <w:jc w:val="center"/>
        <w:rPr>
          <w:rFonts w:asciiTheme="minorHAnsi" w:hAnsiTheme="minorHAnsi" w:cstheme="minorHAnsi"/>
          <w:b/>
        </w:rPr>
      </w:pPr>
      <w:r w:rsidRPr="00ED4DC0">
        <w:rPr>
          <w:rFonts w:asciiTheme="minorHAnsi" w:hAnsiTheme="minorHAnsi" w:cstheme="minorHAnsi"/>
          <w:bCs/>
          <w:i/>
          <w:iCs/>
        </w:rPr>
        <w:t>PRESS RELEASE</w:t>
      </w:r>
      <w:r w:rsidR="00634E6C">
        <w:rPr>
          <w:rFonts w:asciiTheme="minorHAnsi" w:hAnsiTheme="minorHAnsi" w:cstheme="minorHAnsi"/>
          <w:b/>
        </w:rPr>
        <w:t xml:space="preserve"> </w:t>
      </w:r>
    </w:p>
    <w:p w14:paraId="4601B948" w14:textId="77777777" w:rsidR="00D95B75" w:rsidRPr="002B6076" w:rsidRDefault="00D95B75" w:rsidP="003D2029">
      <w:pPr>
        <w:jc w:val="center"/>
        <w:rPr>
          <w:rFonts w:asciiTheme="minorHAnsi" w:hAnsiTheme="minorHAnsi" w:cstheme="minorHAnsi"/>
          <w:b/>
        </w:rPr>
      </w:pPr>
    </w:p>
    <w:p w14:paraId="78314327" w14:textId="6BC7553A" w:rsidR="003200AE" w:rsidRPr="001141D2" w:rsidRDefault="00283EF0" w:rsidP="08E356C1">
      <w:pPr>
        <w:ind w:firstLine="180"/>
        <w:contextualSpacing/>
        <w:jc w:val="center"/>
        <w:rPr>
          <w:rFonts w:asciiTheme="minorHAnsi" w:hAnsiTheme="minorHAnsi" w:cstheme="minorBidi"/>
          <w:b/>
          <w:bCs/>
          <w:color w:val="002060"/>
          <w:sz w:val="36"/>
          <w:szCs w:val="36"/>
          <w:lang w:val="en-IN"/>
        </w:rPr>
      </w:pPr>
      <w:r w:rsidRPr="08E356C1">
        <w:rPr>
          <w:rFonts w:asciiTheme="minorHAnsi" w:hAnsiTheme="minorHAnsi" w:cstheme="minorBidi"/>
          <w:b/>
          <w:bCs/>
          <w:color w:val="002060"/>
          <w:sz w:val="36"/>
          <w:szCs w:val="36"/>
        </w:rPr>
        <w:t xml:space="preserve">Biocon Biologics </w:t>
      </w:r>
      <w:r w:rsidR="00A85B72" w:rsidRPr="00A85B72">
        <w:rPr>
          <w:rFonts w:asciiTheme="minorHAnsi" w:hAnsiTheme="minorHAnsi" w:cstheme="minorBidi"/>
          <w:b/>
          <w:bCs/>
          <w:color w:val="002060"/>
          <w:sz w:val="36"/>
          <w:szCs w:val="36"/>
        </w:rPr>
        <w:t xml:space="preserve">Secures </w:t>
      </w:r>
      <w:r w:rsidR="005E7E55">
        <w:rPr>
          <w:rFonts w:asciiTheme="minorHAnsi" w:hAnsiTheme="minorHAnsi" w:cstheme="minorBidi"/>
          <w:b/>
          <w:bCs/>
          <w:color w:val="002060"/>
          <w:sz w:val="36"/>
          <w:szCs w:val="36"/>
        </w:rPr>
        <w:t xml:space="preserve">U.S. </w:t>
      </w:r>
      <w:r w:rsidR="00A85B72" w:rsidRPr="00A85B72">
        <w:rPr>
          <w:rFonts w:asciiTheme="minorHAnsi" w:hAnsiTheme="minorHAnsi" w:cstheme="minorBidi"/>
          <w:b/>
          <w:bCs/>
          <w:color w:val="002060"/>
          <w:sz w:val="36"/>
          <w:szCs w:val="36"/>
        </w:rPr>
        <w:t xml:space="preserve">Market Entry Date for </w:t>
      </w:r>
      <w:r w:rsidR="00A85B72">
        <w:rPr>
          <w:rFonts w:asciiTheme="minorHAnsi" w:hAnsiTheme="minorHAnsi" w:cstheme="minorBidi"/>
          <w:b/>
          <w:bCs/>
          <w:color w:val="002060"/>
          <w:sz w:val="36"/>
          <w:szCs w:val="36"/>
        </w:rPr>
        <w:br/>
      </w:r>
      <w:r w:rsidRPr="08E356C1">
        <w:rPr>
          <w:rFonts w:asciiTheme="minorHAnsi" w:hAnsiTheme="minorHAnsi" w:cstheme="minorBidi"/>
          <w:b/>
          <w:bCs/>
          <w:color w:val="002060"/>
          <w:sz w:val="36"/>
          <w:szCs w:val="36"/>
        </w:rPr>
        <w:t>Bosaya</w:t>
      </w:r>
      <w:r w:rsidR="6BE1260B" w:rsidRPr="0490AD89">
        <w:rPr>
          <w:rFonts w:asciiTheme="minorHAnsi" w:hAnsiTheme="minorHAnsi" w:cstheme="minorBidi"/>
          <w:b/>
          <w:bCs/>
          <w:color w:val="002060"/>
          <w:sz w:val="36"/>
          <w:szCs w:val="36"/>
        </w:rPr>
        <w:t>™</w:t>
      </w:r>
      <w:r w:rsidRPr="08E356C1">
        <w:rPr>
          <w:rFonts w:asciiTheme="minorHAnsi" w:hAnsiTheme="minorHAnsi" w:cstheme="minorBidi"/>
          <w:b/>
          <w:bCs/>
          <w:color w:val="002060"/>
          <w:sz w:val="36"/>
          <w:szCs w:val="36"/>
        </w:rPr>
        <w:t xml:space="preserve"> and Aukelso</w:t>
      </w:r>
      <w:r w:rsidR="6008478A" w:rsidRPr="0490AD89">
        <w:rPr>
          <w:rFonts w:asciiTheme="minorHAnsi" w:hAnsiTheme="minorHAnsi" w:cstheme="minorBidi"/>
          <w:b/>
          <w:bCs/>
          <w:color w:val="002060"/>
          <w:sz w:val="36"/>
          <w:szCs w:val="36"/>
        </w:rPr>
        <w:t>™</w:t>
      </w:r>
      <w:r w:rsidRPr="08E356C1">
        <w:rPr>
          <w:rFonts w:asciiTheme="minorHAnsi" w:hAnsiTheme="minorHAnsi" w:cstheme="minorBidi"/>
          <w:b/>
          <w:bCs/>
          <w:color w:val="002060"/>
          <w:sz w:val="36"/>
          <w:szCs w:val="36"/>
        </w:rPr>
        <w:t>, Denosumab Biosimilars</w:t>
      </w:r>
    </w:p>
    <w:p w14:paraId="48107B6D" w14:textId="14EA1BAB" w:rsidR="00AA7A29" w:rsidRPr="00410F55" w:rsidRDefault="00AA7A29" w:rsidP="003D2029">
      <w:pPr>
        <w:ind w:firstLine="180"/>
        <w:contextualSpacing/>
        <w:jc w:val="center"/>
        <w:rPr>
          <w:rFonts w:asciiTheme="minorHAnsi" w:hAnsiTheme="minorHAnsi" w:cstheme="minorHAnsi"/>
          <w:b/>
          <w:color w:val="002060"/>
          <w:lang w:val="en-IN"/>
        </w:rPr>
      </w:pPr>
    </w:p>
    <w:p w14:paraId="36D77E39" w14:textId="1E6A889C" w:rsidR="00E22F99" w:rsidRPr="00410F55" w:rsidRDefault="00E22F99" w:rsidP="00E22F99">
      <w:pPr>
        <w:shd w:val="clear" w:color="auto" w:fill="FFFFFF" w:themeFill="background1"/>
        <w:rPr>
          <w:rFonts w:asciiTheme="minorHAnsi" w:hAnsiTheme="minorHAnsi" w:cstheme="minorHAnsi"/>
          <w:b/>
          <w:bCs/>
          <w:color w:val="000000" w:themeColor="text1"/>
          <w:lang w:val="en-IN"/>
        </w:rPr>
      </w:pPr>
      <w:r w:rsidRPr="00410F55">
        <w:rPr>
          <w:rFonts w:asciiTheme="minorHAnsi" w:hAnsiTheme="minorHAnsi" w:cstheme="minorHAnsi"/>
          <w:b/>
          <w:bCs/>
          <w:color w:val="000000" w:themeColor="text1"/>
          <w:lang w:val="en-IN"/>
        </w:rPr>
        <w:t xml:space="preserve">BENGALURU, India and </w:t>
      </w:r>
      <w:r w:rsidR="00E62C61" w:rsidRPr="00410F55">
        <w:rPr>
          <w:rFonts w:asciiTheme="minorHAnsi" w:hAnsiTheme="minorHAnsi" w:cstheme="minorHAnsi"/>
          <w:b/>
          <w:bCs/>
          <w:color w:val="000000" w:themeColor="text1"/>
          <w:lang w:val="en-IN"/>
        </w:rPr>
        <w:t>BRIDGEWATER</w:t>
      </w:r>
      <w:r w:rsidRPr="00410F55">
        <w:rPr>
          <w:rFonts w:asciiTheme="minorHAnsi" w:hAnsiTheme="minorHAnsi" w:cstheme="minorHAnsi"/>
          <w:b/>
          <w:bCs/>
          <w:color w:val="000000" w:themeColor="text1"/>
          <w:lang w:val="en-IN"/>
        </w:rPr>
        <w:t xml:space="preserve">, N.J., United States: </w:t>
      </w:r>
      <w:r w:rsidR="00EC7E9E" w:rsidRPr="001803ED">
        <w:rPr>
          <w:rFonts w:asciiTheme="minorHAnsi" w:hAnsiTheme="minorHAnsi" w:cstheme="minorHAnsi"/>
          <w:b/>
          <w:bCs/>
          <w:color w:val="000000" w:themeColor="text1"/>
          <w:lang w:val="en-IN"/>
        </w:rPr>
        <w:t>Oc</w:t>
      </w:r>
      <w:r w:rsidRPr="001803ED">
        <w:rPr>
          <w:rFonts w:asciiTheme="minorHAnsi" w:hAnsiTheme="minorHAnsi" w:cstheme="minorHAnsi"/>
          <w:b/>
          <w:bCs/>
          <w:color w:val="000000" w:themeColor="text1"/>
          <w:lang w:val="en-IN"/>
        </w:rPr>
        <w:t>t</w:t>
      </w:r>
      <w:r w:rsidR="00EC7E9E" w:rsidRPr="001803ED">
        <w:rPr>
          <w:rFonts w:asciiTheme="minorHAnsi" w:hAnsiTheme="minorHAnsi" w:cstheme="minorHAnsi"/>
          <w:b/>
          <w:bCs/>
          <w:color w:val="000000" w:themeColor="text1"/>
          <w:lang w:val="en-IN"/>
        </w:rPr>
        <w:t>o</w:t>
      </w:r>
      <w:r w:rsidRPr="001803ED">
        <w:rPr>
          <w:rFonts w:asciiTheme="minorHAnsi" w:hAnsiTheme="minorHAnsi" w:cstheme="minorHAnsi"/>
          <w:b/>
          <w:bCs/>
          <w:color w:val="000000" w:themeColor="text1"/>
          <w:lang w:val="en-IN"/>
        </w:rPr>
        <w:t xml:space="preserve">ber </w:t>
      </w:r>
      <w:r w:rsidR="003C6072" w:rsidRPr="001803ED">
        <w:rPr>
          <w:rFonts w:asciiTheme="minorHAnsi" w:hAnsiTheme="minorHAnsi" w:cstheme="minorHAnsi"/>
          <w:b/>
          <w:color w:val="000000" w:themeColor="text1"/>
          <w:lang w:val="en-IN"/>
        </w:rPr>
        <w:t>1</w:t>
      </w:r>
      <w:r w:rsidRPr="001803ED">
        <w:rPr>
          <w:rFonts w:asciiTheme="minorHAnsi" w:hAnsiTheme="minorHAnsi" w:cstheme="minorHAnsi"/>
          <w:b/>
          <w:bCs/>
          <w:color w:val="000000" w:themeColor="text1"/>
          <w:lang w:val="en-IN"/>
        </w:rPr>
        <w:t>, 2025</w:t>
      </w:r>
    </w:p>
    <w:p w14:paraId="475615C6" w14:textId="77777777" w:rsidR="00E22F99" w:rsidRPr="00410F55" w:rsidRDefault="00E22F99" w:rsidP="00410F55">
      <w:pPr>
        <w:shd w:val="clear" w:color="auto" w:fill="FFFFFF" w:themeFill="background1"/>
        <w:jc w:val="both"/>
        <w:rPr>
          <w:rFonts w:asciiTheme="minorHAnsi" w:hAnsiTheme="minorHAnsi" w:cstheme="minorHAnsi"/>
          <w:b/>
          <w:bCs/>
          <w:color w:val="000000" w:themeColor="text1"/>
          <w:lang w:val="en-IN"/>
        </w:rPr>
      </w:pPr>
    </w:p>
    <w:p w14:paraId="3484948D" w14:textId="6E86A1AF" w:rsidR="00EF6BFB" w:rsidRPr="00410F55" w:rsidRDefault="00E22F99" w:rsidP="00410F55">
      <w:pPr>
        <w:pStyle w:val="NoSpacing"/>
        <w:jc w:val="both"/>
        <w:rPr>
          <w:rFonts w:cstheme="minorHAnsi"/>
          <w:sz w:val="24"/>
          <w:szCs w:val="24"/>
        </w:rPr>
      </w:pPr>
      <w:r w:rsidRPr="00410F55">
        <w:rPr>
          <w:rFonts w:eastAsiaTheme="minorEastAsia" w:cstheme="minorHAnsi"/>
          <w:b/>
          <w:color w:val="000000" w:themeColor="text1"/>
          <w:sz w:val="24"/>
          <w:szCs w:val="24"/>
        </w:rPr>
        <w:t>Biocon Biologics Ltd. (BBL)</w:t>
      </w:r>
      <w:r w:rsidRPr="00410F55">
        <w:rPr>
          <w:rFonts w:eastAsiaTheme="minorEastAsia" w:cstheme="minorHAnsi"/>
          <w:color w:val="000000" w:themeColor="text1"/>
          <w:sz w:val="24"/>
          <w:szCs w:val="24"/>
        </w:rPr>
        <w:t xml:space="preserve">, a fully integrated global biosimilars company and subsidiary of Biocon Ltd. (BSE: 532523, NSE: BIOCON), </w:t>
      </w:r>
      <w:r w:rsidR="00EF6BFB" w:rsidRPr="00410F55">
        <w:rPr>
          <w:rFonts w:cstheme="minorHAnsi"/>
          <w:sz w:val="24"/>
          <w:szCs w:val="24"/>
        </w:rPr>
        <w:t>today announced a settlement and license agreement with Amgen Inc. that clears the path for the commercialization of Bosaya™ (denosumab-kyqq) and Aukelso™ (denosumab-kyqq) in the United States.</w:t>
      </w:r>
    </w:p>
    <w:p w14:paraId="0361D680" w14:textId="77777777" w:rsidR="008929BC" w:rsidRPr="00410F55" w:rsidRDefault="008929BC" w:rsidP="00410F55">
      <w:pPr>
        <w:shd w:val="clear" w:color="auto" w:fill="FFFFFF" w:themeFill="background1"/>
        <w:jc w:val="both"/>
        <w:rPr>
          <w:rFonts w:asciiTheme="minorHAnsi" w:eastAsiaTheme="minorEastAsia" w:hAnsiTheme="minorHAnsi" w:cstheme="minorHAnsi"/>
          <w:color w:val="000000" w:themeColor="text1"/>
        </w:rPr>
      </w:pPr>
    </w:p>
    <w:p w14:paraId="5B6EAAB0" w14:textId="1096AD00" w:rsidR="008929BC" w:rsidRPr="00410F55" w:rsidRDefault="008929BC" w:rsidP="00410F55">
      <w:pPr>
        <w:pStyle w:val="NoSpacing"/>
        <w:jc w:val="both"/>
        <w:rPr>
          <w:rFonts w:cstheme="minorHAnsi"/>
          <w:sz w:val="24"/>
          <w:szCs w:val="24"/>
        </w:rPr>
      </w:pPr>
      <w:r w:rsidRPr="00410F55">
        <w:rPr>
          <w:rFonts w:cstheme="minorHAnsi"/>
          <w:sz w:val="24"/>
          <w:szCs w:val="24"/>
        </w:rPr>
        <w:t>Bosaya™ 60 mg/mL injection in a single-dose prefilled syringe</w:t>
      </w:r>
      <w:r w:rsidR="00E62C4F">
        <w:rPr>
          <w:rFonts w:cstheme="minorHAnsi"/>
          <w:sz w:val="24"/>
          <w:szCs w:val="24"/>
        </w:rPr>
        <w:t xml:space="preserve"> </w:t>
      </w:r>
      <w:r w:rsidR="00636604">
        <w:rPr>
          <w:rFonts w:cstheme="minorHAnsi"/>
          <w:sz w:val="24"/>
          <w:szCs w:val="24"/>
        </w:rPr>
        <w:t>(PFS</w:t>
      </w:r>
      <w:r w:rsidRPr="00410F55">
        <w:rPr>
          <w:rFonts w:cstheme="minorHAnsi"/>
          <w:sz w:val="24"/>
          <w:szCs w:val="24"/>
        </w:rPr>
        <w:t xml:space="preserve">) and Aukelso™ </w:t>
      </w:r>
      <w:r w:rsidR="00066F55" w:rsidRPr="00066F55">
        <w:rPr>
          <w:rFonts w:cstheme="minorHAnsi"/>
          <w:sz w:val="24"/>
          <w:szCs w:val="24"/>
          <w:lang w:val="en-US"/>
        </w:rPr>
        <w:t>120 mg/1.7 mL (70 mg/mL injection for subcutaneous use in a single-dose vial</w:t>
      </w:r>
      <w:r w:rsidR="00636604">
        <w:rPr>
          <w:rFonts w:cstheme="minorHAnsi"/>
          <w:sz w:val="24"/>
          <w:szCs w:val="24"/>
        </w:rPr>
        <w:t>,</w:t>
      </w:r>
      <w:r w:rsidRPr="00410F55">
        <w:rPr>
          <w:rFonts w:cstheme="minorHAnsi"/>
          <w:sz w:val="24"/>
          <w:szCs w:val="24"/>
        </w:rPr>
        <w:t xml:space="preserve"> are biosimilars to Amgen’s Prolia® and Xgeva®, respectively. These products are used in the treatment of osteoporosis and cancer-related bone conditions.</w:t>
      </w:r>
    </w:p>
    <w:p w14:paraId="576FDCB6" w14:textId="77777777" w:rsidR="007367E7" w:rsidRPr="00410F55" w:rsidRDefault="007367E7" w:rsidP="00410F55">
      <w:pPr>
        <w:pStyle w:val="NoSpacing"/>
        <w:jc w:val="both"/>
        <w:rPr>
          <w:rFonts w:cstheme="minorHAnsi"/>
          <w:sz w:val="24"/>
          <w:szCs w:val="24"/>
          <w:lang w:val="en-US"/>
        </w:rPr>
      </w:pPr>
    </w:p>
    <w:p w14:paraId="5ACE7463" w14:textId="235AE9ED" w:rsidR="002502A9" w:rsidRDefault="008929BC" w:rsidP="00410F55">
      <w:pPr>
        <w:pStyle w:val="NoSpacing"/>
        <w:jc w:val="both"/>
        <w:rPr>
          <w:rFonts w:cstheme="minorHAnsi"/>
          <w:sz w:val="24"/>
          <w:szCs w:val="24"/>
        </w:rPr>
      </w:pPr>
      <w:r w:rsidRPr="00410F55">
        <w:rPr>
          <w:rFonts w:cstheme="minorHAnsi"/>
          <w:sz w:val="24"/>
          <w:szCs w:val="24"/>
        </w:rPr>
        <w:t xml:space="preserve">Biocon Biologics and Amgen </w:t>
      </w:r>
      <w:r w:rsidR="002B0D45">
        <w:rPr>
          <w:rFonts w:cstheme="minorHAnsi"/>
          <w:sz w:val="24"/>
          <w:szCs w:val="24"/>
        </w:rPr>
        <w:t>executed t</w:t>
      </w:r>
      <w:r w:rsidR="002B0D45" w:rsidRPr="00410F55">
        <w:rPr>
          <w:rFonts w:cstheme="minorHAnsi"/>
          <w:sz w:val="24"/>
          <w:szCs w:val="24"/>
        </w:rPr>
        <w:t>he settlement</w:t>
      </w:r>
      <w:r w:rsidR="002B0D45">
        <w:rPr>
          <w:rFonts w:cstheme="minorHAnsi"/>
          <w:sz w:val="24"/>
          <w:szCs w:val="24"/>
        </w:rPr>
        <w:t xml:space="preserve"> agreement</w:t>
      </w:r>
      <w:r w:rsidR="00500652">
        <w:rPr>
          <w:rFonts w:cstheme="minorHAnsi"/>
          <w:sz w:val="24"/>
          <w:szCs w:val="24"/>
        </w:rPr>
        <w:t xml:space="preserve"> to </w:t>
      </w:r>
      <w:r w:rsidR="001C5D34">
        <w:rPr>
          <w:rFonts w:cstheme="minorHAnsi"/>
          <w:sz w:val="24"/>
          <w:szCs w:val="24"/>
        </w:rPr>
        <w:t xml:space="preserve">resolve </w:t>
      </w:r>
      <w:r w:rsidR="00E15BD7">
        <w:rPr>
          <w:rFonts w:cstheme="minorHAnsi"/>
          <w:sz w:val="24"/>
          <w:szCs w:val="24"/>
        </w:rPr>
        <w:t xml:space="preserve">the pending </w:t>
      </w:r>
      <w:r w:rsidR="001C5D34">
        <w:rPr>
          <w:rFonts w:cstheme="minorHAnsi"/>
          <w:sz w:val="24"/>
          <w:szCs w:val="24"/>
        </w:rPr>
        <w:t xml:space="preserve">patent </w:t>
      </w:r>
      <w:r w:rsidR="002B0D45" w:rsidRPr="00410F55">
        <w:rPr>
          <w:rFonts w:cstheme="minorHAnsi"/>
          <w:sz w:val="24"/>
          <w:szCs w:val="24"/>
        </w:rPr>
        <w:t xml:space="preserve">litigation </w:t>
      </w:r>
      <w:r w:rsidR="00E15BD7">
        <w:rPr>
          <w:rFonts w:cstheme="minorHAnsi"/>
          <w:sz w:val="24"/>
          <w:szCs w:val="24"/>
        </w:rPr>
        <w:t xml:space="preserve">at the </w:t>
      </w:r>
      <w:r w:rsidR="001C5D34">
        <w:rPr>
          <w:rFonts w:cstheme="minorHAnsi"/>
          <w:sz w:val="24"/>
          <w:szCs w:val="24"/>
        </w:rPr>
        <w:t>U</w:t>
      </w:r>
      <w:r w:rsidR="0042412B">
        <w:rPr>
          <w:rFonts w:cstheme="minorHAnsi"/>
          <w:sz w:val="24"/>
          <w:szCs w:val="24"/>
        </w:rPr>
        <w:t xml:space="preserve">nited </w:t>
      </w:r>
      <w:r w:rsidR="001C5D34">
        <w:rPr>
          <w:rFonts w:cstheme="minorHAnsi"/>
          <w:sz w:val="24"/>
          <w:szCs w:val="24"/>
        </w:rPr>
        <w:t>S</w:t>
      </w:r>
      <w:r w:rsidR="0042412B">
        <w:rPr>
          <w:rFonts w:cstheme="minorHAnsi"/>
          <w:sz w:val="24"/>
          <w:szCs w:val="24"/>
        </w:rPr>
        <w:t>tate</w:t>
      </w:r>
      <w:r w:rsidR="00116993">
        <w:rPr>
          <w:rFonts w:cstheme="minorHAnsi"/>
          <w:sz w:val="24"/>
          <w:szCs w:val="24"/>
        </w:rPr>
        <w:t>s</w:t>
      </w:r>
      <w:r w:rsidR="001C5D34">
        <w:rPr>
          <w:rFonts w:cstheme="minorHAnsi"/>
          <w:sz w:val="24"/>
          <w:szCs w:val="24"/>
        </w:rPr>
        <w:t xml:space="preserve"> District Court for </w:t>
      </w:r>
      <w:r w:rsidR="0042412B">
        <w:rPr>
          <w:rFonts w:cstheme="minorHAnsi"/>
          <w:sz w:val="24"/>
          <w:szCs w:val="24"/>
        </w:rPr>
        <w:t xml:space="preserve">the </w:t>
      </w:r>
      <w:r w:rsidR="001C5D34">
        <w:rPr>
          <w:rFonts w:cstheme="minorHAnsi"/>
          <w:sz w:val="24"/>
          <w:szCs w:val="24"/>
        </w:rPr>
        <w:t>District of New Jersey</w:t>
      </w:r>
      <w:r w:rsidR="00541890">
        <w:rPr>
          <w:rFonts w:cstheme="minorHAnsi"/>
          <w:sz w:val="24"/>
          <w:szCs w:val="24"/>
        </w:rPr>
        <w:t>.</w:t>
      </w:r>
      <w:r w:rsidR="00E15BD7" w:rsidRPr="00410F55">
        <w:rPr>
          <w:rFonts w:cstheme="minorHAnsi"/>
          <w:sz w:val="24"/>
          <w:szCs w:val="24"/>
        </w:rPr>
        <w:t xml:space="preserve"> </w:t>
      </w:r>
    </w:p>
    <w:p w14:paraId="58A2E173" w14:textId="77777777" w:rsidR="002502A9" w:rsidRDefault="002502A9" w:rsidP="00410F55">
      <w:pPr>
        <w:pStyle w:val="NoSpacing"/>
        <w:jc w:val="both"/>
        <w:rPr>
          <w:rFonts w:cstheme="minorHAnsi"/>
          <w:sz w:val="24"/>
          <w:szCs w:val="24"/>
        </w:rPr>
      </w:pPr>
    </w:p>
    <w:p w14:paraId="3F971900" w14:textId="53A83EAA" w:rsidR="008929BC" w:rsidRPr="00410F55" w:rsidRDefault="008929BC" w:rsidP="00410F55">
      <w:pPr>
        <w:pStyle w:val="NoSpacing"/>
        <w:jc w:val="both"/>
        <w:rPr>
          <w:rFonts w:cstheme="minorHAnsi"/>
          <w:sz w:val="24"/>
          <w:szCs w:val="24"/>
        </w:rPr>
      </w:pPr>
      <w:r w:rsidRPr="00410F55">
        <w:rPr>
          <w:rFonts w:cstheme="minorHAnsi"/>
          <w:sz w:val="24"/>
          <w:szCs w:val="24"/>
        </w:rPr>
        <w:t xml:space="preserve">The agreement enables Biocon Biologics to launch </w:t>
      </w:r>
      <w:r w:rsidR="0083536F">
        <w:rPr>
          <w:rFonts w:cstheme="minorHAnsi"/>
          <w:sz w:val="24"/>
          <w:szCs w:val="24"/>
        </w:rPr>
        <w:t>BOSAYA</w:t>
      </w:r>
      <w:r w:rsidRPr="00410F55">
        <w:rPr>
          <w:rFonts w:cstheme="minorHAnsi"/>
          <w:sz w:val="24"/>
          <w:szCs w:val="24"/>
        </w:rPr>
        <w:t xml:space="preserve"> and </w:t>
      </w:r>
      <w:r w:rsidR="0083536F">
        <w:rPr>
          <w:rFonts w:cstheme="minorHAnsi"/>
          <w:sz w:val="24"/>
          <w:szCs w:val="24"/>
        </w:rPr>
        <w:t>AUKELSO</w:t>
      </w:r>
      <w:r w:rsidRPr="00410F55">
        <w:rPr>
          <w:rFonts w:cstheme="minorHAnsi"/>
          <w:sz w:val="24"/>
          <w:szCs w:val="24"/>
        </w:rPr>
        <w:t xml:space="preserve"> in the U</w:t>
      </w:r>
      <w:r w:rsidR="00C26A85">
        <w:rPr>
          <w:rFonts w:cstheme="minorHAnsi"/>
          <w:sz w:val="24"/>
          <w:szCs w:val="24"/>
        </w:rPr>
        <w:t>.</w:t>
      </w:r>
      <w:r w:rsidRPr="00410F55">
        <w:rPr>
          <w:rFonts w:cstheme="minorHAnsi"/>
          <w:sz w:val="24"/>
          <w:szCs w:val="24"/>
        </w:rPr>
        <w:t>S</w:t>
      </w:r>
      <w:r w:rsidR="00C26A85">
        <w:rPr>
          <w:rFonts w:cstheme="minorHAnsi"/>
          <w:sz w:val="24"/>
          <w:szCs w:val="24"/>
        </w:rPr>
        <w:t xml:space="preserve">. </w:t>
      </w:r>
      <w:r w:rsidR="00545C12">
        <w:rPr>
          <w:rFonts w:cstheme="minorHAnsi"/>
          <w:sz w:val="24"/>
          <w:szCs w:val="24"/>
        </w:rPr>
        <w:t>from</w:t>
      </w:r>
      <w:r w:rsidR="001C5D34">
        <w:rPr>
          <w:rFonts w:cstheme="minorHAnsi"/>
          <w:sz w:val="24"/>
          <w:szCs w:val="24"/>
        </w:rPr>
        <w:t xml:space="preserve"> October 1, 2025</w:t>
      </w:r>
      <w:r w:rsidR="00541890">
        <w:rPr>
          <w:rFonts w:cstheme="minorHAnsi"/>
          <w:sz w:val="24"/>
          <w:szCs w:val="24"/>
        </w:rPr>
        <w:t xml:space="preserve">. </w:t>
      </w:r>
      <w:r w:rsidRPr="00410F55">
        <w:rPr>
          <w:rFonts w:cstheme="minorHAnsi"/>
          <w:sz w:val="24"/>
          <w:szCs w:val="24"/>
        </w:rPr>
        <w:t xml:space="preserve">The </w:t>
      </w:r>
      <w:r w:rsidR="00FA5A02">
        <w:rPr>
          <w:rFonts w:cstheme="minorHAnsi"/>
          <w:sz w:val="24"/>
          <w:szCs w:val="24"/>
        </w:rPr>
        <w:t xml:space="preserve">other </w:t>
      </w:r>
      <w:r w:rsidRPr="00410F55">
        <w:rPr>
          <w:rFonts w:cstheme="minorHAnsi"/>
          <w:sz w:val="24"/>
          <w:szCs w:val="24"/>
        </w:rPr>
        <w:t>terms of the settlement remain confidential.</w:t>
      </w:r>
    </w:p>
    <w:p w14:paraId="28E83743" w14:textId="77777777" w:rsidR="0082656B" w:rsidRPr="00410F55" w:rsidRDefault="0082656B" w:rsidP="00410F55">
      <w:pPr>
        <w:shd w:val="clear" w:color="auto" w:fill="FFFFFF" w:themeFill="background1"/>
        <w:jc w:val="both"/>
        <w:rPr>
          <w:rFonts w:asciiTheme="minorHAnsi" w:eastAsiaTheme="minorEastAsia" w:hAnsiTheme="minorHAnsi" w:cstheme="minorHAnsi"/>
          <w:color w:val="000000" w:themeColor="text1"/>
          <w:lang w:val="en-IN"/>
        </w:rPr>
      </w:pPr>
    </w:p>
    <w:p w14:paraId="51A7EAD4" w14:textId="1A27CD19" w:rsidR="0082656B" w:rsidRPr="00410F55" w:rsidRDefault="0082656B" w:rsidP="00410F55">
      <w:pPr>
        <w:shd w:val="clear" w:color="auto" w:fill="FFFFFF" w:themeFill="background1"/>
        <w:jc w:val="both"/>
        <w:rPr>
          <w:rFonts w:asciiTheme="minorHAnsi" w:hAnsiTheme="minorHAnsi" w:cstheme="minorHAnsi"/>
          <w:i/>
          <w:color w:val="000000" w:themeColor="text1"/>
          <w:lang w:val="en-IN"/>
        </w:rPr>
      </w:pPr>
      <w:r w:rsidRPr="00C612F3">
        <w:rPr>
          <w:rFonts w:asciiTheme="minorHAnsi" w:hAnsiTheme="minorHAnsi" w:cstheme="minorHAnsi"/>
          <w:b/>
          <w:i/>
          <w:color w:val="000000" w:themeColor="text1"/>
          <w:lang w:val="en-IN"/>
        </w:rPr>
        <w:t xml:space="preserve">Shreehas Tambe, CEO &amp; Managing Director, Biocon Biologics, </w:t>
      </w:r>
      <w:r w:rsidRPr="00C612F3">
        <w:rPr>
          <w:rFonts w:asciiTheme="minorHAnsi" w:hAnsiTheme="minorHAnsi" w:cstheme="minorHAnsi"/>
          <w:i/>
          <w:color w:val="000000" w:themeColor="text1"/>
          <w:lang w:val="en-IN"/>
        </w:rPr>
        <w:t>said</w:t>
      </w:r>
      <w:r w:rsidR="1206E35F" w:rsidRPr="00C612F3">
        <w:rPr>
          <w:rFonts w:asciiTheme="minorHAnsi" w:hAnsiTheme="minorHAnsi" w:cstheme="minorHAnsi"/>
          <w:i/>
          <w:iCs/>
          <w:color w:val="000000" w:themeColor="text1"/>
          <w:lang w:val="en-IN"/>
        </w:rPr>
        <w:t>,</w:t>
      </w:r>
      <w:r w:rsidRPr="00C612F3">
        <w:rPr>
          <w:rFonts w:asciiTheme="minorHAnsi" w:hAnsiTheme="minorHAnsi" w:cstheme="minorHAnsi"/>
          <w:b/>
          <w:i/>
          <w:color w:val="000000" w:themeColor="text1"/>
          <w:lang w:val="en-IN"/>
        </w:rPr>
        <w:t xml:space="preserve"> </w:t>
      </w:r>
      <w:r w:rsidR="00AF1DCE" w:rsidRPr="00AF1DCE">
        <w:rPr>
          <w:rFonts w:asciiTheme="minorHAnsi" w:hAnsiTheme="minorHAnsi" w:cstheme="minorHAnsi"/>
          <w:i/>
          <w:color w:val="000000" w:themeColor="text1"/>
          <w:lang w:val="en-IN"/>
        </w:rPr>
        <w:t>“</w:t>
      </w:r>
      <w:r w:rsidR="009C50AF" w:rsidRPr="009C50AF">
        <w:rPr>
          <w:rFonts w:asciiTheme="minorHAnsi" w:hAnsiTheme="minorHAnsi" w:cstheme="minorHAnsi"/>
          <w:i/>
          <w:color w:val="000000" w:themeColor="text1"/>
          <w:lang w:val="en-IN"/>
        </w:rPr>
        <w:t xml:space="preserve">This settlement paves the way for Biocon Biologics to bring our high-quality </w:t>
      </w:r>
      <w:r w:rsidR="00AF1DCE" w:rsidRPr="00AF1DCE">
        <w:rPr>
          <w:rFonts w:asciiTheme="minorHAnsi" w:hAnsiTheme="minorHAnsi" w:cstheme="minorHAnsi"/>
          <w:i/>
          <w:color w:val="000000" w:themeColor="text1"/>
          <w:lang w:val="en-IN"/>
        </w:rPr>
        <w:t>denosumab biosimilars, Aukelso™ and Bosaya™,</w:t>
      </w:r>
      <w:r w:rsidR="000B5E82" w:rsidRPr="000B5E82">
        <w:t xml:space="preserve"> </w:t>
      </w:r>
      <w:r w:rsidR="000B5E82" w:rsidRPr="000B5E82">
        <w:rPr>
          <w:rFonts w:asciiTheme="minorHAnsi" w:hAnsiTheme="minorHAnsi" w:cstheme="minorHAnsi"/>
          <w:i/>
          <w:color w:val="000000" w:themeColor="text1"/>
          <w:lang w:val="en-IN"/>
        </w:rPr>
        <w:t>to patients and healthcare providers in the United States</w:t>
      </w:r>
      <w:r w:rsidR="00AF1DCE" w:rsidRPr="00AF1DCE">
        <w:rPr>
          <w:rFonts w:asciiTheme="minorHAnsi" w:hAnsiTheme="minorHAnsi" w:cstheme="minorHAnsi"/>
          <w:i/>
          <w:color w:val="000000" w:themeColor="text1"/>
          <w:lang w:val="en-IN"/>
        </w:rPr>
        <w:t>. These therapies will not only strengthen our oncology portfolio but also mark our entry into the bone health space—</w:t>
      </w:r>
      <w:proofErr w:type="gramStart"/>
      <w:r w:rsidR="00AF1DCE" w:rsidRPr="00AF1DCE">
        <w:rPr>
          <w:rFonts w:asciiTheme="minorHAnsi" w:hAnsiTheme="minorHAnsi" w:cstheme="minorHAnsi"/>
          <w:i/>
          <w:color w:val="000000" w:themeColor="text1"/>
          <w:lang w:val="en-IN"/>
        </w:rPr>
        <w:t>an important step</w:t>
      </w:r>
      <w:proofErr w:type="gramEnd"/>
      <w:r w:rsidR="00AF1DCE" w:rsidRPr="00AF1DCE">
        <w:rPr>
          <w:rFonts w:asciiTheme="minorHAnsi" w:hAnsiTheme="minorHAnsi" w:cstheme="minorHAnsi"/>
          <w:i/>
          <w:color w:val="000000" w:themeColor="text1"/>
          <w:lang w:val="en-IN"/>
        </w:rPr>
        <w:t xml:space="preserve"> as we continue to broaden access to life-changing biologics for patients across therapeutic areas. By expanding access to advanced biologic medicines, we are reaffirming our role as a global biosimilar leader.”</w:t>
      </w:r>
      <w:r w:rsidR="00B93916">
        <w:rPr>
          <w:rFonts w:asciiTheme="minorHAnsi" w:hAnsiTheme="minorHAnsi" w:cstheme="minorHAnsi"/>
          <w:i/>
          <w:color w:val="000000" w:themeColor="text1"/>
          <w:lang w:val="en-IN"/>
        </w:rPr>
        <w:t xml:space="preserve"> </w:t>
      </w:r>
    </w:p>
    <w:p w14:paraId="5A731B6C" w14:textId="77777777" w:rsidR="00E22F99" w:rsidRDefault="00E22F99" w:rsidP="00410F55">
      <w:pPr>
        <w:shd w:val="clear" w:color="auto" w:fill="FFFFFF" w:themeFill="background1"/>
        <w:jc w:val="both"/>
        <w:rPr>
          <w:rFonts w:asciiTheme="minorHAnsi" w:eastAsiaTheme="minorEastAsia" w:hAnsiTheme="minorHAnsi" w:cstheme="minorHAnsi"/>
          <w:i/>
          <w:color w:val="000000" w:themeColor="text1"/>
          <w:lang w:val="en-IN"/>
        </w:rPr>
      </w:pPr>
    </w:p>
    <w:p w14:paraId="6667FE9B" w14:textId="37444BE8" w:rsidR="00C51DB0" w:rsidRPr="00C51DB0" w:rsidRDefault="00C51DB0" w:rsidP="00410F55">
      <w:pPr>
        <w:shd w:val="clear" w:color="auto" w:fill="FFFFFF" w:themeFill="background1"/>
        <w:jc w:val="both"/>
        <w:rPr>
          <w:rFonts w:asciiTheme="minorHAnsi" w:eastAsiaTheme="minorEastAsia" w:hAnsiTheme="minorHAnsi" w:cstheme="minorHAnsi"/>
          <w:iCs/>
          <w:color w:val="000000" w:themeColor="text1"/>
          <w:lang w:val="en-IN"/>
        </w:rPr>
      </w:pPr>
      <w:r w:rsidRPr="00C51DB0">
        <w:rPr>
          <w:rFonts w:asciiTheme="minorHAnsi" w:eastAsiaTheme="minorEastAsia" w:hAnsiTheme="minorHAnsi" w:cstheme="minorHAnsi"/>
          <w:iCs/>
          <w:color w:val="000000" w:themeColor="text1"/>
          <w:lang w:val="en-IN"/>
        </w:rPr>
        <w:t xml:space="preserve">The U.S. Food and Drug Administration (FDA) </w:t>
      </w:r>
      <w:hyperlink r:id="rId11" w:history="1">
        <w:r w:rsidRPr="00A00728">
          <w:rPr>
            <w:rStyle w:val="Hyperlink"/>
            <w:rFonts w:asciiTheme="minorHAnsi" w:eastAsiaTheme="minorEastAsia" w:hAnsiTheme="minorHAnsi" w:cstheme="minorHAnsi"/>
            <w:iCs/>
            <w:lang w:val="en-IN"/>
          </w:rPr>
          <w:t>had approved BOSAYA and AUKELSO</w:t>
        </w:r>
      </w:hyperlink>
      <w:r w:rsidRPr="00C51DB0">
        <w:rPr>
          <w:rFonts w:asciiTheme="minorHAnsi" w:eastAsiaTheme="minorEastAsia" w:hAnsiTheme="minorHAnsi" w:cstheme="minorHAnsi"/>
          <w:iCs/>
          <w:color w:val="000000" w:themeColor="text1"/>
          <w:lang w:val="en-IN"/>
        </w:rPr>
        <w:t xml:space="preserve"> in September 2025. In addition, the U.S. FDA granted provisional interchangeability designation for both BOSAYA and AUKELSO.</w:t>
      </w:r>
    </w:p>
    <w:p w14:paraId="5B26BDA9" w14:textId="77777777" w:rsidR="00C51DB0" w:rsidRDefault="00C51DB0" w:rsidP="00410F55">
      <w:pPr>
        <w:shd w:val="clear" w:color="auto" w:fill="FFFFFF" w:themeFill="background1"/>
        <w:jc w:val="both"/>
        <w:rPr>
          <w:rFonts w:asciiTheme="minorHAnsi" w:eastAsiaTheme="minorEastAsia" w:hAnsiTheme="minorHAnsi" w:cstheme="minorHAnsi"/>
          <w:color w:val="000000" w:themeColor="text1"/>
        </w:rPr>
      </w:pPr>
    </w:p>
    <w:p w14:paraId="6885826C" w14:textId="5220C345" w:rsidR="00E22F99" w:rsidRPr="00410F55" w:rsidRDefault="00226545" w:rsidP="00410F55">
      <w:pPr>
        <w:shd w:val="clear" w:color="auto" w:fill="FFFFFF" w:themeFill="background1"/>
        <w:jc w:val="both"/>
        <w:rPr>
          <w:rFonts w:asciiTheme="minorHAnsi" w:eastAsiaTheme="minorEastAsia" w:hAnsiTheme="minorHAnsi" w:cstheme="minorHAnsi"/>
          <w:color w:val="000000" w:themeColor="text1"/>
          <w:lang w:val="en-IN"/>
        </w:rPr>
      </w:pPr>
      <w:r w:rsidRPr="00410F55">
        <w:rPr>
          <w:rFonts w:asciiTheme="minorHAnsi" w:eastAsiaTheme="minorEastAsia" w:hAnsiTheme="minorHAnsi" w:cstheme="minorHAnsi"/>
          <w:color w:val="000000" w:themeColor="text1"/>
        </w:rPr>
        <w:t>BOSAYA is approved for the treatment of postmenopausal women with osteoporosis at high risk for fracture, to increase bone mass in men with osteoporosis at high risk for fracture, glucocorticoid-induced osteoporosis in men and women at high risk for fracture, to increase bone mass in men at high risk for fracture receiving androgen deprivation therapy for nonmetastatic prostate cancer, and to increase bone mass in women at high risk for fracture receiving adjuvant aromatase inhibitor therapy for breast cancer.</w:t>
      </w:r>
      <w:r w:rsidR="7B05D7EB" w:rsidRPr="00410F55">
        <w:rPr>
          <w:rFonts w:asciiTheme="minorHAnsi" w:eastAsiaTheme="minorEastAsia" w:hAnsiTheme="minorHAnsi" w:cstheme="minorHAnsi"/>
          <w:color w:val="000000" w:themeColor="text1"/>
          <w:lang w:val="en-IN"/>
        </w:rPr>
        <w:t xml:space="preserve"> </w:t>
      </w:r>
    </w:p>
    <w:p w14:paraId="5EEF49CC" w14:textId="77777777" w:rsidR="00E22F99" w:rsidRPr="00410F55" w:rsidRDefault="00E22F99" w:rsidP="00410F55">
      <w:pPr>
        <w:shd w:val="clear" w:color="auto" w:fill="FFFFFF" w:themeFill="background1"/>
        <w:jc w:val="both"/>
        <w:rPr>
          <w:rFonts w:asciiTheme="minorHAnsi" w:eastAsiaTheme="minorEastAsia" w:hAnsiTheme="minorHAnsi" w:cstheme="minorHAnsi"/>
          <w:color w:val="000000" w:themeColor="text1"/>
          <w:lang w:val="en-IN"/>
        </w:rPr>
      </w:pPr>
    </w:p>
    <w:p w14:paraId="2B2FEFDC" w14:textId="4DF00C8D" w:rsidR="00E22F99" w:rsidRPr="00410F55" w:rsidRDefault="005369CC" w:rsidP="00410F55">
      <w:pPr>
        <w:shd w:val="clear" w:color="auto" w:fill="FFFFFF" w:themeFill="background1"/>
        <w:jc w:val="both"/>
        <w:rPr>
          <w:rFonts w:asciiTheme="minorHAnsi" w:eastAsiaTheme="minorEastAsia" w:hAnsiTheme="minorHAnsi" w:cstheme="minorHAnsi"/>
          <w:color w:val="000000" w:themeColor="text1"/>
          <w:lang w:val="en-IN"/>
        </w:rPr>
      </w:pPr>
      <w:r w:rsidRPr="00410F55">
        <w:rPr>
          <w:rFonts w:asciiTheme="minorHAnsi" w:eastAsiaTheme="minorEastAsia" w:hAnsiTheme="minorHAnsi" w:cstheme="minorHAnsi"/>
          <w:color w:val="000000" w:themeColor="text1"/>
        </w:rPr>
        <w:t xml:space="preserve">AUKELSO is approved for the prevention of skeletal-related events in patients with multiple myeloma and in patients with bone metastases from solid tumors, to treat adults and skeletally mature adolescents with giant cell tumor of bone that is unresectable or where surgical resection is likely to </w:t>
      </w:r>
      <w:r w:rsidRPr="00410F55">
        <w:rPr>
          <w:rFonts w:asciiTheme="minorHAnsi" w:eastAsiaTheme="minorEastAsia" w:hAnsiTheme="minorHAnsi" w:cstheme="minorHAnsi"/>
          <w:color w:val="000000" w:themeColor="text1"/>
        </w:rPr>
        <w:lastRenderedPageBreak/>
        <w:t>result in severe morbidity, and to treat hypercalcemia of malignancy refractory to bisphosphonate therapy.</w:t>
      </w:r>
      <w:r w:rsidR="425294B7" w:rsidRPr="00410F55">
        <w:rPr>
          <w:rFonts w:asciiTheme="minorHAnsi" w:eastAsiaTheme="minorEastAsia" w:hAnsiTheme="minorHAnsi" w:cstheme="minorHAnsi"/>
          <w:color w:val="000000" w:themeColor="text1"/>
          <w:lang w:val="en-IN"/>
        </w:rPr>
        <w:t xml:space="preserve"> </w:t>
      </w:r>
    </w:p>
    <w:p w14:paraId="40C33344" w14:textId="77777777" w:rsidR="00E22F99" w:rsidRPr="00410F55" w:rsidRDefault="00E22F99" w:rsidP="00410F55">
      <w:pPr>
        <w:shd w:val="clear" w:color="auto" w:fill="FFFFFF" w:themeFill="background1"/>
        <w:jc w:val="both"/>
        <w:rPr>
          <w:rFonts w:asciiTheme="minorHAnsi" w:eastAsiaTheme="minorEastAsia" w:hAnsiTheme="minorHAnsi" w:cstheme="minorHAnsi"/>
          <w:color w:val="000000" w:themeColor="text1"/>
          <w:lang w:val="en-IN"/>
        </w:rPr>
      </w:pPr>
    </w:p>
    <w:p w14:paraId="7D1E5516" w14:textId="6046AF40" w:rsidR="00E22F99" w:rsidRPr="00410F55" w:rsidRDefault="005369CC" w:rsidP="00410F55">
      <w:pPr>
        <w:shd w:val="clear" w:color="auto" w:fill="FFFFFF" w:themeFill="background1"/>
        <w:jc w:val="both"/>
        <w:rPr>
          <w:rFonts w:asciiTheme="minorHAnsi" w:eastAsiaTheme="minorEastAsia" w:hAnsiTheme="minorHAnsi" w:cstheme="minorHAnsi"/>
          <w:lang w:val="en-IN"/>
        </w:rPr>
      </w:pPr>
      <w:r w:rsidRPr="00410F55">
        <w:rPr>
          <w:rFonts w:asciiTheme="minorHAnsi" w:eastAsiaTheme="minorEastAsia" w:hAnsiTheme="minorHAnsi" w:cstheme="minorHAnsi"/>
          <w:color w:val="000000" w:themeColor="text1"/>
        </w:rPr>
        <w:t>Clinical data showed that both biosimilars demonstrated comparable quality, safety, and efficacy to the reference product. BOSAYA is approved with the same Risk Evaluation and Mitigation Strategy (REMS) plan as PROLIA to likewise inform healthcare providers and patients of the risks of severe hypocalcemia in patients with advanced chronic kidney disease (CKD), including dialysis-dependent patients, associated with BOSAYA.</w:t>
      </w:r>
      <w:r w:rsidR="10613F7C" w:rsidRPr="00410F55">
        <w:rPr>
          <w:rFonts w:asciiTheme="minorHAnsi" w:eastAsiaTheme="minorEastAsia" w:hAnsiTheme="minorHAnsi" w:cstheme="minorHAnsi"/>
          <w:lang w:val="en-IN"/>
        </w:rPr>
        <w:t xml:space="preserve"> </w:t>
      </w:r>
    </w:p>
    <w:p w14:paraId="3C76568A" w14:textId="77777777" w:rsidR="00E22F99" w:rsidRPr="00410F55" w:rsidRDefault="00E22F99" w:rsidP="00E22F99">
      <w:pPr>
        <w:shd w:val="clear" w:color="auto" w:fill="FFFFFF" w:themeFill="background1"/>
        <w:rPr>
          <w:rFonts w:asciiTheme="minorHAnsi" w:hAnsiTheme="minorHAnsi" w:cstheme="minorHAnsi"/>
          <w:color w:val="000000" w:themeColor="text1"/>
          <w:lang w:val="en-IN"/>
        </w:rPr>
      </w:pPr>
    </w:p>
    <w:p w14:paraId="0A8499D3" w14:textId="77777777" w:rsidR="006F5F00" w:rsidRPr="00410F55" w:rsidRDefault="00AA0F02" w:rsidP="006F5F00">
      <w:pPr>
        <w:shd w:val="clear" w:color="auto" w:fill="FFFFFF" w:themeFill="background1"/>
        <w:jc w:val="both"/>
        <w:rPr>
          <w:rFonts w:asciiTheme="minorHAnsi" w:hAnsiTheme="minorHAnsi" w:cstheme="minorHAnsi"/>
          <w:color w:val="000000" w:themeColor="text1"/>
          <w:lang w:val="en-IN"/>
        </w:rPr>
      </w:pPr>
      <w:r w:rsidRPr="00410F55">
        <w:rPr>
          <w:rFonts w:asciiTheme="minorHAnsi" w:hAnsiTheme="minorHAnsi" w:cstheme="minorHAnsi"/>
          <w:b/>
          <w:bCs/>
          <w:color w:val="000000" w:themeColor="text1"/>
          <w:lang w:val="en-IN"/>
        </w:rPr>
        <w:t>Epidemiology:</w:t>
      </w:r>
      <w:r w:rsidRPr="00410F55">
        <w:rPr>
          <w:rFonts w:asciiTheme="minorHAnsi" w:hAnsiTheme="minorHAnsi" w:cstheme="minorHAnsi"/>
          <w:color w:val="000000" w:themeColor="text1"/>
          <w:lang w:val="en-IN"/>
        </w:rPr>
        <w:br/>
      </w:r>
      <w:r w:rsidR="006F5F00" w:rsidRPr="00410F55">
        <w:rPr>
          <w:rFonts w:asciiTheme="minorHAnsi" w:hAnsiTheme="minorHAnsi" w:cstheme="minorHAnsi"/>
          <w:color w:val="000000" w:themeColor="text1"/>
          <w:lang w:val="en-IN"/>
        </w:rPr>
        <w:t>Osteoporosis is a chronic disease that weakens bones, making them fragile and more prone to fracture. In the U.S., approximately 10 million adults over age 50 are estimated to have osteoporosis, with another 44 million at risk due to low bone density.</w:t>
      </w:r>
      <w:r w:rsidR="006F5F00" w:rsidRPr="00410F55">
        <w:rPr>
          <w:rFonts w:asciiTheme="minorHAnsi" w:hAnsiTheme="minorHAnsi" w:cstheme="minorHAnsi"/>
          <w:color w:val="000000" w:themeColor="text1"/>
          <w:vertAlign w:val="superscript"/>
          <w:lang w:val="en-IN"/>
        </w:rPr>
        <w:t>1,2</w:t>
      </w:r>
      <w:r w:rsidR="006F5F00" w:rsidRPr="00410F55">
        <w:rPr>
          <w:rFonts w:asciiTheme="minorHAnsi" w:hAnsiTheme="minorHAnsi" w:cstheme="minorHAnsi"/>
          <w:color w:val="000000" w:themeColor="text1"/>
          <w:lang w:val="en-IN"/>
        </w:rPr>
        <w:t xml:space="preserve"> One in two women and up to one in four men over age 50 will break a bone in their lifetime due to osteoporosis.</w:t>
      </w:r>
      <w:r w:rsidR="006F5F00" w:rsidRPr="00410F55">
        <w:rPr>
          <w:rFonts w:asciiTheme="minorHAnsi" w:hAnsiTheme="minorHAnsi" w:cstheme="minorHAnsi"/>
          <w:color w:val="000000" w:themeColor="text1"/>
          <w:vertAlign w:val="superscript"/>
          <w:lang w:val="en-IN"/>
        </w:rPr>
        <w:t>3</w:t>
      </w:r>
    </w:p>
    <w:p w14:paraId="33D2889D" w14:textId="77777777" w:rsidR="006F5F00" w:rsidRPr="00410F55" w:rsidRDefault="006F5F00" w:rsidP="006F5F00">
      <w:pPr>
        <w:shd w:val="clear" w:color="auto" w:fill="FFFFFF" w:themeFill="background1"/>
        <w:jc w:val="both"/>
        <w:rPr>
          <w:rFonts w:asciiTheme="minorHAnsi" w:hAnsiTheme="minorHAnsi" w:cstheme="minorHAnsi"/>
          <w:color w:val="000000" w:themeColor="text1"/>
          <w:lang w:val="en-IN"/>
        </w:rPr>
      </w:pPr>
    </w:p>
    <w:p w14:paraId="1C0DE87B" w14:textId="26C02184" w:rsidR="006F5F00" w:rsidRPr="006F5F00" w:rsidRDefault="006F5F00" w:rsidP="006F5F00">
      <w:pPr>
        <w:shd w:val="clear" w:color="auto" w:fill="FFFFFF" w:themeFill="background1"/>
        <w:jc w:val="both"/>
        <w:rPr>
          <w:rFonts w:asciiTheme="minorHAnsi" w:hAnsiTheme="minorHAnsi" w:cstheme="minorHAnsi"/>
          <w:color w:val="000000" w:themeColor="text1"/>
          <w:lang w:val="en-IN"/>
        </w:rPr>
      </w:pPr>
      <w:r w:rsidRPr="006F5F00">
        <w:rPr>
          <w:rFonts w:asciiTheme="minorHAnsi" w:hAnsiTheme="minorHAnsi" w:cstheme="minorHAnsi"/>
          <w:color w:val="000000" w:themeColor="text1"/>
          <w:lang w:val="en-IN"/>
        </w:rPr>
        <w:t>Bone metastases are a common complication of advanced cancer, affecting more than 330,000 patients annually in the United States.</w:t>
      </w:r>
      <w:r w:rsidRPr="006F5F00">
        <w:rPr>
          <w:rFonts w:asciiTheme="minorHAnsi" w:hAnsiTheme="minorHAnsi" w:cstheme="minorHAnsi"/>
          <w:color w:val="000000" w:themeColor="text1"/>
          <w:vertAlign w:val="superscript"/>
          <w:lang w:val="en-IN"/>
        </w:rPr>
        <w:t>4</w:t>
      </w:r>
      <w:r w:rsidRPr="006F5F00">
        <w:rPr>
          <w:rFonts w:asciiTheme="minorHAnsi" w:hAnsiTheme="minorHAnsi" w:cstheme="minorHAnsi"/>
          <w:color w:val="000000" w:themeColor="text1"/>
          <w:lang w:val="en-IN"/>
        </w:rPr>
        <w:t xml:space="preserve"> Skeletal complications can significantly impair quality of life and increase healthcare burden.</w:t>
      </w:r>
      <w:r w:rsidRPr="006F5F00">
        <w:rPr>
          <w:rFonts w:asciiTheme="minorHAnsi" w:hAnsiTheme="minorHAnsi" w:cstheme="minorHAnsi"/>
          <w:color w:val="000000" w:themeColor="text1"/>
          <w:vertAlign w:val="superscript"/>
          <w:lang w:val="en-IN"/>
        </w:rPr>
        <w:t>5</w:t>
      </w:r>
    </w:p>
    <w:p w14:paraId="7479A99F" w14:textId="77777777" w:rsidR="006F5F00" w:rsidRPr="00410F55" w:rsidRDefault="006F5F00" w:rsidP="006F5F00">
      <w:pPr>
        <w:shd w:val="clear" w:color="auto" w:fill="FFFFFF" w:themeFill="background1"/>
        <w:jc w:val="both"/>
        <w:rPr>
          <w:rFonts w:asciiTheme="minorHAnsi" w:hAnsiTheme="minorHAnsi" w:cstheme="minorHAnsi"/>
          <w:color w:val="000000" w:themeColor="text1"/>
          <w:lang w:val="en-IN"/>
        </w:rPr>
      </w:pPr>
    </w:p>
    <w:p w14:paraId="5C9C6C55" w14:textId="2ECFC9B3" w:rsidR="006F5F00" w:rsidRPr="006F5F00" w:rsidRDefault="006F5F00" w:rsidP="006F5F00">
      <w:pPr>
        <w:shd w:val="clear" w:color="auto" w:fill="FFFFFF" w:themeFill="background1"/>
        <w:jc w:val="both"/>
        <w:rPr>
          <w:rFonts w:asciiTheme="minorHAnsi" w:hAnsiTheme="minorHAnsi" w:cstheme="minorHAnsi"/>
          <w:color w:val="000000" w:themeColor="text1"/>
          <w:lang w:val="en-IN"/>
        </w:rPr>
      </w:pPr>
      <w:r w:rsidRPr="006F5F00">
        <w:rPr>
          <w:rFonts w:asciiTheme="minorHAnsi" w:hAnsiTheme="minorHAnsi" w:cstheme="minorHAnsi"/>
          <w:color w:val="000000" w:themeColor="text1"/>
          <w:lang w:val="en-IN"/>
        </w:rPr>
        <w:t>Giant cell tumor of bone (GCTB) is a rare, locally aggressive benign tumor that primarily affects young adults. While noncancerous, it can cause severe pain, fractures, and disability.</w:t>
      </w:r>
    </w:p>
    <w:p w14:paraId="45D0D856" w14:textId="77777777" w:rsidR="00AA0F02" w:rsidRPr="00410F55" w:rsidRDefault="00AA0F02" w:rsidP="00AA0F02">
      <w:pPr>
        <w:shd w:val="clear" w:color="auto" w:fill="FFFFFF" w:themeFill="background1"/>
        <w:jc w:val="both"/>
        <w:rPr>
          <w:rFonts w:asciiTheme="minorHAnsi" w:hAnsiTheme="minorHAnsi" w:cstheme="minorHAnsi"/>
          <w:b/>
          <w:bCs/>
          <w:color w:val="000000" w:themeColor="text1"/>
        </w:rPr>
      </w:pPr>
    </w:p>
    <w:p w14:paraId="2734995B" w14:textId="206D43FC" w:rsidR="00006C11" w:rsidRPr="00410F55" w:rsidRDefault="00006C11" w:rsidP="00E22F99">
      <w:pPr>
        <w:shd w:val="clear" w:color="auto" w:fill="FFFFFF" w:themeFill="background1"/>
        <w:rPr>
          <w:rFonts w:asciiTheme="minorHAnsi" w:hAnsiTheme="minorHAnsi" w:cstheme="minorHAnsi"/>
          <w:b/>
          <w:bCs/>
          <w:color w:val="000000" w:themeColor="text1"/>
          <w:lang w:val="en-IN"/>
        </w:rPr>
      </w:pPr>
      <w:r w:rsidRPr="00410F55">
        <w:rPr>
          <w:rFonts w:asciiTheme="minorHAnsi" w:hAnsiTheme="minorHAnsi" w:cstheme="minorHAnsi"/>
          <w:b/>
          <w:bCs/>
          <w:color w:val="000000" w:themeColor="text1"/>
          <w:lang w:val="en-IN"/>
        </w:rPr>
        <w:t>About BOSAYA and AUKELSO</w:t>
      </w:r>
      <w:r w:rsidR="00473F7E" w:rsidRPr="00410F55">
        <w:rPr>
          <w:rFonts w:asciiTheme="minorHAnsi" w:hAnsiTheme="minorHAnsi" w:cstheme="minorHAnsi"/>
          <w:b/>
          <w:bCs/>
          <w:color w:val="000000" w:themeColor="text1"/>
          <w:lang w:val="en-IN"/>
        </w:rPr>
        <w:t>:</w:t>
      </w:r>
    </w:p>
    <w:p w14:paraId="54F58AE2" w14:textId="25CDADF8" w:rsidR="00E22F99" w:rsidRPr="00410F55" w:rsidRDefault="0099274F" w:rsidP="00E22F99">
      <w:pPr>
        <w:shd w:val="clear" w:color="auto" w:fill="FFFFFF" w:themeFill="background1"/>
        <w:rPr>
          <w:rFonts w:asciiTheme="minorHAnsi" w:hAnsiTheme="minorHAnsi" w:cstheme="minorHAnsi"/>
          <w:color w:val="000000" w:themeColor="text1"/>
        </w:rPr>
      </w:pPr>
      <w:r w:rsidRPr="00410F55">
        <w:rPr>
          <w:rFonts w:asciiTheme="minorHAnsi" w:hAnsiTheme="minorHAnsi" w:cstheme="minorHAnsi"/>
          <w:color w:val="000000" w:themeColor="text1"/>
        </w:rPr>
        <w:t>Denosumab is a human monoclonal antibody that targets and binds to Receptor Activator of Nuclear Factor Kappa-B Ligand (RANKL). RANKL is essential for the formation, function, and survival of osteoclasts, the cells responsible for bone resorption. By blocking RANKL, denosumab reduces bone breakdown, increasing bone mass and strength.</w:t>
      </w:r>
    </w:p>
    <w:p w14:paraId="3BB761CB" w14:textId="77777777" w:rsidR="00E22F99" w:rsidRPr="00410F55" w:rsidRDefault="00E22F99" w:rsidP="00E22F99">
      <w:pPr>
        <w:shd w:val="clear" w:color="auto" w:fill="FFFFFF" w:themeFill="background1"/>
        <w:rPr>
          <w:rFonts w:asciiTheme="minorHAnsi" w:hAnsiTheme="minorHAnsi" w:cstheme="minorHAnsi"/>
          <w:color w:val="000000" w:themeColor="text1"/>
          <w:lang w:val="en-IN"/>
        </w:rPr>
      </w:pPr>
    </w:p>
    <w:p w14:paraId="115862F8" w14:textId="5D37766E" w:rsidR="00AF2E76" w:rsidRPr="00AF2E76" w:rsidRDefault="00AF2E76" w:rsidP="00AF2E76">
      <w:pPr>
        <w:shd w:val="clear" w:color="auto" w:fill="FFFFFF" w:themeFill="background1"/>
        <w:rPr>
          <w:rFonts w:asciiTheme="minorHAnsi" w:eastAsia="Calibri" w:hAnsiTheme="minorHAnsi" w:cstheme="minorHAnsi"/>
          <w:b/>
          <w:color w:val="000000" w:themeColor="text1"/>
          <w:lang w:val="en-IN"/>
        </w:rPr>
      </w:pPr>
      <w:r w:rsidRPr="00AF2E76">
        <w:rPr>
          <w:rFonts w:asciiTheme="minorHAnsi" w:eastAsia="Calibri" w:hAnsiTheme="minorHAnsi" w:cstheme="minorHAnsi"/>
          <w:b/>
          <w:bCs/>
          <w:color w:val="000000" w:themeColor="text1"/>
          <w:lang w:val="en-IN"/>
        </w:rPr>
        <w:t>About BOSAYA (denosumab-kyqq)</w:t>
      </w:r>
    </w:p>
    <w:p w14:paraId="0E9FF449" w14:textId="77777777" w:rsidR="0083536F" w:rsidRDefault="0083536F" w:rsidP="0083536F">
      <w:pPr>
        <w:ind w:left="820"/>
        <w:rPr>
          <w:rFonts w:ascii="Calibri" w:eastAsia="Calibri" w:hAnsi="Calibri" w:cs="Calibri"/>
          <w:b/>
          <w:bCs/>
          <w:lang w:val="en-IN"/>
        </w:rPr>
      </w:pPr>
    </w:p>
    <w:tbl>
      <w:tblPr>
        <w:tblW w:w="10045" w:type="dxa"/>
        <w:tblInd w:w="-10" w:type="dxa"/>
        <w:tblLayout w:type="fixed"/>
        <w:tblLook w:val="04A0" w:firstRow="1" w:lastRow="0" w:firstColumn="1" w:lastColumn="0" w:noHBand="0" w:noVBand="1"/>
      </w:tblPr>
      <w:tblGrid>
        <w:gridCol w:w="10045"/>
      </w:tblGrid>
      <w:tr w:rsidR="0083536F" w14:paraId="35FB7FD1" w14:textId="77777777" w:rsidTr="009C3516">
        <w:trPr>
          <w:trHeight w:val="300"/>
        </w:trPr>
        <w:tc>
          <w:tcPr>
            <w:tcW w:w="10045" w:type="dxa"/>
            <w:tcBorders>
              <w:top w:val="single" w:sz="8" w:space="0" w:color="auto"/>
              <w:left w:val="single" w:sz="8" w:space="0" w:color="auto"/>
              <w:bottom w:val="single" w:sz="8" w:space="0" w:color="auto"/>
              <w:right w:val="single" w:sz="8" w:space="0" w:color="auto"/>
            </w:tcBorders>
            <w:tcMar>
              <w:left w:w="108" w:type="dxa"/>
              <w:right w:w="108" w:type="dxa"/>
            </w:tcMar>
          </w:tcPr>
          <w:p w14:paraId="296B5290" w14:textId="77777777" w:rsidR="0083536F" w:rsidRDefault="0083536F" w:rsidP="009C3516">
            <w:pPr>
              <w:spacing w:before="18"/>
              <w:ind w:left="4"/>
              <w:jc w:val="center"/>
              <w:rPr>
                <w:rFonts w:ascii="Calibri" w:eastAsia="Calibri" w:hAnsi="Calibri" w:cs="Calibri"/>
                <w:b/>
                <w:bCs/>
                <w:lang w:val="en-IN"/>
              </w:rPr>
            </w:pPr>
            <w:r w:rsidRPr="4F16CAAB">
              <w:rPr>
                <w:rFonts w:ascii="Calibri" w:eastAsia="Calibri" w:hAnsi="Calibri" w:cs="Calibri"/>
                <w:b/>
                <w:bCs/>
                <w:lang w:val="en-IN"/>
              </w:rPr>
              <w:t>WARNING: SEVERE HYPOCALCEMIA IN PATIENTS WITH ADVANCED KIDNEY DISEASE</w:t>
            </w:r>
          </w:p>
          <w:p w14:paraId="154B2114" w14:textId="77777777" w:rsidR="0083536F" w:rsidRDefault="0083536F" w:rsidP="009C3516">
            <w:pPr>
              <w:spacing w:before="2"/>
              <w:ind w:left="4" w:right="4"/>
              <w:jc w:val="center"/>
              <w:rPr>
                <w:rFonts w:ascii="Calibri" w:eastAsia="Calibri" w:hAnsi="Calibri" w:cs="Calibri"/>
                <w:b/>
                <w:bCs/>
                <w:i/>
                <w:iCs/>
                <w:lang w:val="en-IN"/>
              </w:rPr>
            </w:pPr>
            <w:r w:rsidRPr="4F16CAAB">
              <w:rPr>
                <w:rFonts w:ascii="Calibri" w:eastAsia="Calibri" w:hAnsi="Calibri" w:cs="Calibri"/>
                <w:b/>
                <w:bCs/>
                <w:i/>
                <w:iCs/>
                <w:lang w:val="en-IN"/>
              </w:rPr>
              <w:t>See full prescribing information for complete boxed warning.</w:t>
            </w:r>
          </w:p>
          <w:p w14:paraId="7E40A9AB" w14:textId="77777777" w:rsidR="0083536F" w:rsidRDefault="0083536F" w:rsidP="009C3516">
            <w:pPr>
              <w:spacing w:before="2"/>
              <w:ind w:left="4" w:right="4"/>
              <w:rPr>
                <w:rFonts w:ascii="Calibri" w:eastAsia="Calibri" w:hAnsi="Calibri" w:cs="Calibri"/>
                <w:b/>
                <w:bCs/>
                <w:i/>
                <w:iCs/>
                <w:lang w:val="en-IN"/>
              </w:rPr>
            </w:pPr>
            <w:r w:rsidRPr="4F16CAAB">
              <w:rPr>
                <w:rFonts w:ascii="Calibri" w:eastAsia="Calibri" w:hAnsi="Calibri" w:cs="Calibri"/>
                <w:b/>
                <w:bCs/>
                <w:i/>
                <w:iCs/>
                <w:lang w:val="en-IN"/>
              </w:rPr>
              <w:t xml:space="preserve"> </w:t>
            </w:r>
          </w:p>
          <w:p w14:paraId="11BA082D" w14:textId="77777777" w:rsidR="0083536F" w:rsidRDefault="0083536F" w:rsidP="009C3516">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Patients with advanced chronic kidney disease are at greater risk of severe hypocalcemia following denosumab products administration. Severe hypocalcemia resulting in hospitalization, life-threatening events and fatal cases have been reported. </w:t>
            </w:r>
          </w:p>
          <w:p w14:paraId="28D84DFD" w14:textId="77777777" w:rsidR="0083536F" w:rsidRDefault="0083536F" w:rsidP="009C3516">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The presence of chronic kidney disease-mineral bone disorder (CKD-MBD) markedly increases the risk of hypocalcemia. </w:t>
            </w:r>
          </w:p>
          <w:p w14:paraId="0D3499C3" w14:textId="77777777" w:rsidR="0083536F" w:rsidRDefault="0083536F" w:rsidP="009C3516">
            <w:pPr>
              <w:pStyle w:val="ListParagraph"/>
              <w:numPr>
                <w:ilvl w:val="0"/>
                <w:numId w:val="14"/>
              </w:numPr>
              <w:ind w:left="357" w:hanging="357"/>
              <w:rPr>
                <w:rFonts w:eastAsia="Calibri"/>
                <w:b/>
                <w:bCs/>
                <w:lang w:val="en-IN"/>
              </w:rPr>
            </w:pPr>
            <w:r w:rsidRPr="4F16CAAB">
              <w:rPr>
                <w:rFonts w:eastAsia="Calibri"/>
                <w:b/>
                <w:bCs/>
                <w:sz w:val="24"/>
                <w:szCs w:val="24"/>
                <w:lang w:val="en-IN"/>
              </w:rPr>
              <w:t xml:space="preserve">Prior to initiating BOSAYA in patients with advanced chronic kidney disease, evaluate for the presence of CKD-MBD. Treatment with BOSAYA in these patients should be supervised by a healthcare provider with expertise in the diagnosis and management of CKD-MBD. </w:t>
            </w:r>
          </w:p>
        </w:tc>
      </w:tr>
    </w:tbl>
    <w:p w14:paraId="48A8CD3D" w14:textId="77777777" w:rsidR="003173FB" w:rsidRPr="00410F55" w:rsidRDefault="003173FB" w:rsidP="002A3AF9">
      <w:pPr>
        <w:shd w:val="clear" w:color="auto" w:fill="FFFFFF" w:themeFill="background1"/>
        <w:rPr>
          <w:rFonts w:asciiTheme="minorHAnsi" w:eastAsia="Calibri" w:hAnsiTheme="minorHAnsi" w:cstheme="minorHAnsi"/>
          <w:b/>
          <w:bCs/>
          <w:color w:val="000000" w:themeColor="text1"/>
          <w:lang w:val="en-IN"/>
        </w:rPr>
      </w:pPr>
    </w:p>
    <w:p w14:paraId="7068E6CA" w14:textId="38FFCEAE" w:rsidR="002A3AF9" w:rsidRPr="002A3AF9" w:rsidRDefault="002A3AF9" w:rsidP="002A3AF9">
      <w:pPr>
        <w:shd w:val="clear" w:color="auto" w:fill="FFFFFF" w:themeFill="background1"/>
        <w:rPr>
          <w:rFonts w:asciiTheme="minorHAnsi" w:eastAsia="Calibri" w:hAnsiTheme="minorHAnsi" w:cstheme="minorHAnsi"/>
          <w:b/>
          <w:bCs/>
          <w:color w:val="000000" w:themeColor="text1"/>
          <w:lang w:val="en-IN"/>
        </w:rPr>
      </w:pPr>
      <w:r w:rsidRPr="002A3AF9">
        <w:rPr>
          <w:rFonts w:asciiTheme="minorHAnsi" w:eastAsia="Calibri" w:hAnsiTheme="minorHAnsi" w:cstheme="minorHAnsi"/>
          <w:b/>
          <w:bCs/>
          <w:color w:val="000000" w:themeColor="text1"/>
          <w:lang w:val="en-IN"/>
        </w:rPr>
        <w:t>Warnings and Precautions:</w:t>
      </w:r>
    </w:p>
    <w:p w14:paraId="036AB70B" w14:textId="1219EB7E"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 xml:space="preserve">Pre-existing hypocalcemia must be corrected before initiating BOSAYA. May worsen, especially in patients with renal impairment. Adequately supplement all patients with calcium and vitamin D. Concomitant use of calcimimetic drugs may also worsen hypocalcemia risk. </w:t>
      </w:r>
      <w:r w:rsidRPr="002A3AF9">
        <w:rPr>
          <w:rFonts w:asciiTheme="minorHAnsi" w:eastAsia="Calibri" w:hAnsiTheme="minorHAnsi" w:cstheme="minorHAnsi"/>
          <w:color w:val="000000" w:themeColor="text1"/>
          <w:lang w:val="en-IN"/>
        </w:rPr>
        <w:lastRenderedPageBreak/>
        <w:t>Evaluate for presence of chronic kidney disease mineral-bone disorder. Monitor serum calcium.</w:t>
      </w:r>
    </w:p>
    <w:p w14:paraId="2FFCC497" w14:textId="076C02A4"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Patients receiving BOSAYA should not receive other denosumab products concomitantly.</w:t>
      </w:r>
    </w:p>
    <w:p w14:paraId="0F0E930D" w14:textId="7777777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Hypersensitivity including anaphylactic reactions may occur. Discontinue permanently if a clinically significant reaction occurs.</w:t>
      </w:r>
    </w:p>
    <w:p w14:paraId="3D2C040F" w14:textId="7777777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Osteonecrosis of the jaw has been reported with denosumab products. Monitor for symptoms.</w:t>
      </w:r>
    </w:p>
    <w:p w14:paraId="5CA47EFA" w14:textId="7777777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Atypical femoral fractures: Have been reported. Evaluate patients with thigh or groin pain to rule out a femoral fracture.</w:t>
      </w:r>
    </w:p>
    <w:p w14:paraId="2DA81A42" w14:textId="55ADF41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Multiple vertebral fractures have been reported following treatment discontinuation. Patients should be transitioned to another antiresorptive agent if BOSAYA is discontinued.</w:t>
      </w:r>
    </w:p>
    <w:p w14:paraId="25041CDC" w14:textId="7777777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Serious infections including skin infections may occur, including those leading to hospitalization. Advise patients to seek prompt medical attention if they develop signs or symptoms of infection, including cellulitis.</w:t>
      </w:r>
    </w:p>
    <w:p w14:paraId="29D3F752" w14:textId="0D79FE22"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Dermatologic reactions such as, dermatitis, rashes, and eczema have been reported. Consider discontinuing BOSAYA if severe symptoms develop.</w:t>
      </w:r>
    </w:p>
    <w:p w14:paraId="43C3BEA2" w14:textId="77777777" w:rsidR="002A3AF9" w:rsidRPr="002A3AF9"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Severe bone, joint, muscle pain may occur. Discontinue use if severe symptoms develop.</w:t>
      </w:r>
    </w:p>
    <w:p w14:paraId="47752F62" w14:textId="77777777" w:rsidR="002A3AF9" w:rsidRPr="00410F55" w:rsidRDefault="002A3AF9" w:rsidP="003173FB">
      <w:pPr>
        <w:numPr>
          <w:ilvl w:val="0"/>
          <w:numId w:val="17"/>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Significant suppression of bone turnover has been demonstrated. Monitor for consequences of bone over-suppression.</w:t>
      </w:r>
    </w:p>
    <w:p w14:paraId="489C46BC" w14:textId="77777777" w:rsidR="00FA2C5C" w:rsidRPr="002A3AF9" w:rsidRDefault="00FA2C5C" w:rsidP="00FA2C5C">
      <w:pPr>
        <w:shd w:val="clear" w:color="auto" w:fill="FFFFFF" w:themeFill="background1"/>
        <w:ind w:left="720"/>
        <w:jc w:val="both"/>
        <w:rPr>
          <w:rFonts w:asciiTheme="minorHAnsi" w:eastAsia="Calibri" w:hAnsiTheme="minorHAnsi" w:cstheme="minorHAnsi"/>
          <w:color w:val="000000" w:themeColor="text1"/>
          <w:lang w:val="en-IN"/>
        </w:rPr>
      </w:pPr>
    </w:p>
    <w:p w14:paraId="75A796F8" w14:textId="77777777" w:rsidR="002A3AF9" w:rsidRPr="002A3AF9" w:rsidRDefault="002A3AF9" w:rsidP="002A3AF9">
      <w:pPr>
        <w:shd w:val="clear" w:color="auto" w:fill="FFFFFF" w:themeFill="background1"/>
        <w:rPr>
          <w:rFonts w:asciiTheme="minorHAnsi" w:eastAsia="Calibri" w:hAnsiTheme="minorHAnsi" w:cstheme="minorHAnsi"/>
          <w:b/>
          <w:bCs/>
          <w:color w:val="000000" w:themeColor="text1"/>
          <w:lang w:val="en-IN"/>
        </w:rPr>
      </w:pPr>
      <w:r w:rsidRPr="002A3AF9">
        <w:rPr>
          <w:rFonts w:asciiTheme="minorHAnsi" w:eastAsia="Calibri" w:hAnsiTheme="minorHAnsi" w:cstheme="minorHAnsi"/>
          <w:b/>
          <w:bCs/>
          <w:color w:val="000000" w:themeColor="text1"/>
          <w:lang w:val="en-IN"/>
        </w:rPr>
        <w:t>Adverse reactions:</w:t>
      </w:r>
    </w:p>
    <w:p w14:paraId="3957962A" w14:textId="77777777" w:rsidR="002A3AF9" w:rsidRPr="002A3AF9" w:rsidRDefault="002A3AF9" w:rsidP="00C06DBB">
      <w:pPr>
        <w:numPr>
          <w:ilvl w:val="0"/>
          <w:numId w:val="18"/>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Postmenopausal osteoporosis: Most common adverse reactions (&gt; 5% and more common than placebo) were: back pain, pain in extremity, hypercholesterolemia, musculoskeletal pain, and cystitis. Pancreatitis has been reported in clinical trials.</w:t>
      </w:r>
    </w:p>
    <w:p w14:paraId="70289CA6" w14:textId="77777777" w:rsidR="002A3AF9" w:rsidRPr="002A3AF9" w:rsidRDefault="002A3AF9" w:rsidP="00C06DBB">
      <w:pPr>
        <w:numPr>
          <w:ilvl w:val="0"/>
          <w:numId w:val="18"/>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Male osteoporosis: Most common adverse reactions (&gt; 5% and more common than placebo) were: back pain, arthralgia, and nasopharyngitis.</w:t>
      </w:r>
    </w:p>
    <w:p w14:paraId="610E92E0" w14:textId="77777777" w:rsidR="002A3AF9" w:rsidRPr="002A3AF9" w:rsidRDefault="002A3AF9" w:rsidP="00C06DBB">
      <w:pPr>
        <w:numPr>
          <w:ilvl w:val="0"/>
          <w:numId w:val="18"/>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Glucocorticoid-induced osteoporosis: Most common adverse reactions (&gt; 3% and more common than active-control group) were: back pain, hypertension, bronchitis, and headache.</w:t>
      </w:r>
    </w:p>
    <w:p w14:paraId="07257DE9" w14:textId="77777777" w:rsidR="002A3AF9" w:rsidRPr="002A3AF9" w:rsidRDefault="002A3AF9" w:rsidP="00C06DBB">
      <w:pPr>
        <w:numPr>
          <w:ilvl w:val="0"/>
          <w:numId w:val="18"/>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Bone loss due to hormone ablation for cancer: Most common adverse reactions (≥ 10% and more common than placebo) were: arthralgia and back pain. Pain in extremity and musculoskeletal pain have also been reported in clinical trials.</w:t>
      </w:r>
    </w:p>
    <w:p w14:paraId="58F626CD" w14:textId="77777777" w:rsidR="00C06DBB" w:rsidRPr="00410F55" w:rsidRDefault="00C06DBB" w:rsidP="002A3AF9">
      <w:pPr>
        <w:shd w:val="clear" w:color="auto" w:fill="FFFFFF" w:themeFill="background1"/>
        <w:rPr>
          <w:rFonts w:asciiTheme="minorHAnsi" w:eastAsia="Calibri" w:hAnsiTheme="minorHAnsi" w:cstheme="minorHAnsi"/>
          <w:b/>
          <w:bCs/>
          <w:color w:val="000000" w:themeColor="text1"/>
          <w:lang w:val="en-IN"/>
        </w:rPr>
      </w:pPr>
    </w:p>
    <w:p w14:paraId="445C01A7" w14:textId="72CDB719" w:rsidR="002A3AF9" w:rsidRPr="002A3AF9" w:rsidRDefault="002A3AF9" w:rsidP="002A3AF9">
      <w:pPr>
        <w:shd w:val="clear" w:color="auto" w:fill="FFFFFF" w:themeFill="background1"/>
        <w:rPr>
          <w:rFonts w:asciiTheme="minorHAnsi" w:eastAsia="Calibri" w:hAnsiTheme="minorHAnsi" w:cstheme="minorHAnsi"/>
          <w:b/>
          <w:bCs/>
          <w:color w:val="000000" w:themeColor="text1"/>
          <w:lang w:val="en-IN"/>
        </w:rPr>
      </w:pPr>
      <w:r w:rsidRPr="002A3AF9">
        <w:rPr>
          <w:rFonts w:asciiTheme="minorHAnsi" w:eastAsia="Calibri" w:hAnsiTheme="minorHAnsi" w:cstheme="minorHAnsi"/>
          <w:b/>
          <w:bCs/>
          <w:color w:val="000000" w:themeColor="text1"/>
          <w:lang w:val="en-IN"/>
        </w:rPr>
        <w:t>Use in Specific Populations:</w:t>
      </w:r>
    </w:p>
    <w:p w14:paraId="18B82B61" w14:textId="1E741B1B" w:rsidR="002A3AF9" w:rsidRPr="002A3AF9" w:rsidRDefault="002A3AF9" w:rsidP="00C06DBB">
      <w:pPr>
        <w:numPr>
          <w:ilvl w:val="0"/>
          <w:numId w:val="19"/>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Pregnant women and females of reproductive potential: Denosumab products may cause fetal harm when administered to pregnant women. Advise females of reproductive potential to use effective contraception during therapy, and for at least 5 months after the last dose of BOSAYA</w:t>
      </w:r>
      <w:r w:rsidR="001C5D34" w:rsidRPr="00410F55">
        <w:rPr>
          <w:rFonts w:cstheme="minorHAnsi"/>
        </w:rPr>
        <w:t>™</w:t>
      </w:r>
      <w:r w:rsidRPr="002A3AF9">
        <w:rPr>
          <w:rFonts w:asciiTheme="minorHAnsi" w:eastAsia="Calibri" w:hAnsiTheme="minorHAnsi" w:cstheme="minorHAnsi"/>
          <w:color w:val="000000" w:themeColor="text1"/>
          <w:lang w:val="en-IN"/>
        </w:rPr>
        <w:t>.</w:t>
      </w:r>
    </w:p>
    <w:p w14:paraId="6C64D531" w14:textId="1C1727C9" w:rsidR="002A3AF9" w:rsidRPr="002A3AF9" w:rsidRDefault="002A3AF9" w:rsidP="00C06DBB">
      <w:pPr>
        <w:numPr>
          <w:ilvl w:val="0"/>
          <w:numId w:val="19"/>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Pediatric patients: BOSAYA is not approved for use in pediatric patients.</w:t>
      </w:r>
    </w:p>
    <w:p w14:paraId="7353B867" w14:textId="77777777" w:rsidR="002A3AF9" w:rsidRPr="002A3AF9" w:rsidRDefault="002A3AF9" w:rsidP="00C06DBB">
      <w:pPr>
        <w:numPr>
          <w:ilvl w:val="0"/>
          <w:numId w:val="19"/>
        </w:numPr>
        <w:shd w:val="clear" w:color="auto" w:fill="FFFFFF" w:themeFill="background1"/>
        <w:jc w:val="both"/>
        <w:rPr>
          <w:rFonts w:asciiTheme="minorHAnsi" w:eastAsia="Calibri" w:hAnsiTheme="minorHAnsi" w:cstheme="minorHAnsi"/>
          <w:color w:val="000000" w:themeColor="text1"/>
          <w:lang w:val="en-IN"/>
        </w:rPr>
      </w:pPr>
      <w:r w:rsidRPr="002A3AF9">
        <w:rPr>
          <w:rFonts w:asciiTheme="minorHAnsi" w:eastAsia="Calibri" w:hAnsiTheme="minorHAnsi" w:cstheme="minorHAnsi"/>
          <w:color w:val="000000" w:themeColor="text1"/>
          <w:lang w:val="en-IN"/>
        </w:rPr>
        <w:t>Renal impairment: No dose adjustment is necessary in patients with renal impairment. Patients with advanced chronic kidney disease (eGFR&lt;30 mL/min/1.73 m2), including dialysis-dependent patients, are at greater risk of severe hypocalcemia. The presence of underlying chronic kidney disease-mineral bone disorder markedly increases the risk of hypocalcemia.</w:t>
      </w:r>
    </w:p>
    <w:p w14:paraId="5F8287D9" w14:textId="77777777" w:rsidR="002A3AF9" w:rsidRDefault="002A3AF9" w:rsidP="1670169D">
      <w:pPr>
        <w:shd w:val="clear" w:color="auto" w:fill="FFFFFF" w:themeFill="background1"/>
        <w:rPr>
          <w:rFonts w:asciiTheme="minorHAnsi" w:eastAsia="Calibri" w:hAnsiTheme="minorHAnsi" w:cstheme="minorHAnsi"/>
          <w:b/>
          <w:bCs/>
          <w:color w:val="000000" w:themeColor="text1"/>
          <w:lang w:val="en-IN"/>
        </w:rPr>
      </w:pPr>
    </w:p>
    <w:p w14:paraId="58023E4D" w14:textId="0D48DA24"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b/>
          <w:bCs/>
          <w:color w:val="000000" w:themeColor="text1"/>
          <w:lang w:val="en-IN"/>
        </w:rPr>
        <w:t>About AUKELSO (denosumab-kyqq)</w:t>
      </w:r>
    </w:p>
    <w:p w14:paraId="0A955C48" w14:textId="77777777" w:rsidR="00D01FDB" w:rsidRPr="00410F55" w:rsidRDefault="00D01FDB" w:rsidP="00D01FDB">
      <w:pPr>
        <w:shd w:val="clear" w:color="auto" w:fill="FFFFFF" w:themeFill="background1"/>
        <w:rPr>
          <w:rFonts w:asciiTheme="minorHAnsi" w:hAnsiTheme="minorHAnsi" w:cstheme="minorHAnsi"/>
          <w:b/>
          <w:bCs/>
          <w:color w:val="000000" w:themeColor="text1"/>
          <w:lang w:val="en-IN"/>
        </w:rPr>
      </w:pPr>
    </w:p>
    <w:p w14:paraId="691CFBCB" w14:textId="5C38D021"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b/>
          <w:bCs/>
          <w:color w:val="000000" w:themeColor="text1"/>
          <w:lang w:val="en-IN"/>
        </w:rPr>
        <w:t>Warnings and Precautions:</w:t>
      </w:r>
    </w:p>
    <w:p w14:paraId="17F48333" w14:textId="3EE54768"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lastRenderedPageBreak/>
        <w:t>Patients receiving AUKELSO should not receive other denosumab products concomitantly.</w:t>
      </w:r>
    </w:p>
    <w:p w14:paraId="1A59F6F3" w14:textId="77777777"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Hypersensitivity reactions including anaphylaxis may occur. Discontinue permanently if a clinically significant reaction occurs.</w:t>
      </w:r>
    </w:p>
    <w:p w14:paraId="08637D55" w14:textId="7CF140B0"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Denosumab products can cause severe symptomatic hypocalcemia. Fatal cases have been reported with denosumab products use. Correct hypocalcemia prior to initiating AUKELSO. Monitor calcium levels during therapy, especially in the first weeks of initiating therapy, and adequately supplement all patients with calcium and vitamin D.</w:t>
      </w:r>
    </w:p>
    <w:p w14:paraId="6BCBCA11" w14:textId="436B77EF"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Osteonecrosis of the jaw (ONJ) has been reported in patients receiving denosumab products. Perform an oral examination prior to starting AUKELSO. Monitor for symptoms. Avoid invasive dental procedures during treatment with AUKELSO.</w:t>
      </w:r>
    </w:p>
    <w:p w14:paraId="0413E41E" w14:textId="77777777"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Evaluate patients with thigh or groin pain to rule out a femoral fracture.</w:t>
      </w:r>
    </w:p>
    <w:p w14:paraId="0A2302C8" w14:textId="77777777"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Hypercalcemia Following Treatment Discontinuation in Patients with Giant Cell Tumor of Bone and in Patients with Growing Skeletons, patients should be monitored for signs and symptoms of hypercalcemia, and manage as clinically appropriate.</w:t>
      </w:r>
    </w:p>
    <w:p w14:paraId="7C2E68C0" w14:textId="0CE4D901"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Multiple Vertebral Fractures (MVF) Following Treatment Discontinuation, when AUKELSO treatment is discontinued, evaluate the individual patient’s risk for vertebral fractures.</w:t>
      </w:r>
    </w:p>
    <w:p w14:paraId="1B759380" w14:textId="77777777" w:rsidR="00D01FDB" w:rsidRPr="00D01FDB" w:rsidRDefault="00D01FDB" w:rsidP="00D01FDB">
      <w:pPr>
        <w:numPr>
          <w:ilvl w:val="0"/>
          <w:numId w:val="20"/>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Embryo-Fetal Toxicity can cause fetal harm. Advise females of reproductive potential of potential risk to the fetus and to use effective contraception.</w:t>
      </w:r>
    </w:p>
    <w:p w14:paraId="08A851D2" w14:textId="77777777"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 </w:t>
      </w:r>
    </w:p>
    <w:p w14:paraId="3C57A13B" w14:textId="77777777"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b/>
          <w:bCs/>
          <w:color w:val="000000" w:themeColor="text1"/>
          <w:lang w:val="en-IN"/>
        </w:rPr>
        <w:t>Adverse Reactions:</w:t>
      </w:r>
    </w:p>
    <w:p w14:paraId="08D13A44" w14:textId="77777777" w:rsidR="00D01FDB" w:rsidRPr="00D01FDB" w:rsidRDefault="00D01FDB" w:rsidP="009C33BC">
      <w:pPr>
        <w:numPr>
          <w:ilvl w:val="0"/>
          <w:numId w:val="21"/>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Bone Metastasis from Solid Tumors: Most common adverse reactions (≥ 25%) were fatigue/asthenia, hypophosphatemia, and nausea.</w:t>
      </w:r>
    </w:p>
    <w:p w14:paraId="5DB4F068" w14:textId="77777777" w:rsidR="00D01FDB" w:rsidRPr="00D01FDB" w:rsidRDefault="00D01FDB" w:rsidP="009C33BC">
      <w:pPr>
        <w:numPr>
          <w:ilvl w:val="0"/>
          <w:numId w:val="21"/>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 xml:space="preserve">Multiple Myeloma: Most common adverse reactions (≥ 10%) were diarrhea, nausea, </w:t>
      </w:r>
      <w:proofErr w:type="spellStart"/>
      <w:r w:rsidRPr="00D01FDB">
        <w:rPr>
          <w:rFonts w:asciiTheme="minorHAnsi" w:hAnsiTheme="minorHAnsi" w:cstheme="minorHAnsi"/>
          <w:color w:val="000000" w:themeColor="text1"/>
          <w:lang w:val="en-IN"/>
        </w:rPr>
        <w:t>anemia</w:t>
      </w:r>
      <w:proofErr w:type="spellEnd"/>
      <w:r w:rsidRPr="00D01FDB">
        <w:rPr>
          <w:rFonts w:asciiTheme="minorHAnsi" w:hAnsiTheme="minorHAnsi" w:cstheme="minorHAnsi"/>
          <w:color w:val="000000" w:themeColor="text1"/>
          <w:lang w:val="en-IN"/>
        </w:rPr>
        <w:t xml:space="preserve">, back pain, thrombocytopenia, peripheral </w:t>
      </w:r>
      <w:proofErr w:type="spellStart"/>
      <w:r w:rsidRPr="00D01FDB">
        <w:rPr>
          <w:rFonts w:asciiTheme="minorHAnsi" w:hAnsiTheme="minorHAnsi" w:cstheme="minorHAnsi"/>
          <w:color w:val="000000" w:themeColor="text1"/>
          <w:lang w:val="en-IN"/>
        </w:rPr>
        <w:t>edema</w:t>
      </w:r>
      <w:proofErr w:type="spellEnd"/>
      <w:r w:rsidRPr="00D01FDB">
        <w:rPr>
          <w:rFonts w:asciiTheme="minorHAnsi" w:hAnsiTheme="minorHAnsi" w:cstheme="minorHAnsi"/>
          <w:color w:val="000000" w:themeColor="text1"/>
          <w:lang w:val="en-IN"/>
        </w:rPr>
        <w:t>, hypocalcemia, upper respiratory tract infection, rash, and headache.</w:t>
      </w:r>
    </w:p>
    <w:p w14:paraId="0177BE58" w14:textId="77777777" w:rsidR="00D01FDB" w:rsidRPr="00D01FDB" w:rsidRDefault="00D01FDB" w:rsidP="009C33BC">
      <w:pPr>
        <w:numPr>
          <w:ilvl w:val="0"/>
          <w:numId w:val="21"/>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Giant Cell Tumor of Bone: Most common adverse reactions (≥ 10%) were arthralgia, headache, nausea, back pain, fatigue, and pain in extremity.</w:t>
      </w:r>
    </w:p>
    <w:p w14:paraId="69CDF368" w14:textId="77777777" w:rsidR="00D01FDB" w:rsidRPr="00D01FDB" w:rsidRDefault="00D01FDB" w:rsidP="009C33BC">
      <w:pPr>
        <w:numPr>
          <w:ilvl w:val="0"/>
          <w:numId w:val="21"/>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 xml:space="preserve">Hypercalcemia of Malignancy: Most common adverse reactions (&gt; 20%) were nausea, </w:t>
      </w:r>
      <w:proofErr w:type="spellStart"/>
      <w:r w:rsidRPr="00D01FDB">
        <w:rPr>
          <w:rFonts w:asciiTheme="minorHAnsi" w:hAnsiTheme="minorHAnsi" w:cstheme="minorHAnsi"/>
          <w:color w:val="000000" w:themeColor="text1"/>
          <w:lang w:val="en-IN"/>
        </w:rPr>
        <w:t>dyspnea</w:t>
      </w:r>
      <w:proofErr w:type="spellEnd"/>
      <w:r w:rsidRPr="00D01FDB">
        <w:rPr>
          <w:rFonts w:asciiTheme="minorHAnsi" w:hAnsiTheme="minorHAnsi" w:cstheme="minorHAnsi"/>
          <w:color w:val="000000" w:themeColor="text1"/>
          <w:lang w:val="en-IN"/>
        </w:rPr>
        <w:t xml:space="preserve">, decreased appetite, headache, peripheral </w:t>
      </w:r>
      <w:proofErr w:type="spellStart"/>
      <w:r w:rsidRPr="00D01FDB">
        <w:rPr>
          <w:rFonts w:asciiTheme="minorHAnsi" w:hAnsiTheme="minorHAnsi" w:cstheme="minorHAnsi"/>
          <w:color w:val="000000" w:themeColor="text1"/>
          <w:lang w:val="en-IN"/>
        </w:rPr>
        <w:t>edema</w:t>
      </w:r>
      <w:proofErr w:type="spellEnd"/>
      <w:r w:rsidRPr="00D01FDB">
        <w:rPr>
          <w:rFonts w:asciiTheme="minorHAnsi" w:hAnsiTheme="minorHAnsi" w:cstheme="minorHAnsi"/>
          <w:color w:val="000000" w:themeColor="text1"/>
          <w:lang w:val="en-IN"/>
        </w:rPr>
        <w:t xml:space="preserve">, vomiting, </w:t>
      </w:r>
      <w:proofErr w:type="spellStart"/>
      <w:r w:rsidRPr="00D01FDB">
        <w:rPr>
          <w:rFonts w:asciiTheme="minorHAnsi" w:hAnsiTheme="minorHAnsi" w:cstheme="minorHAnsi"/>
          <w:color w:val="000000" w:themeColor="text1"/>
          <w:lang w:val="en-IN"/>
        </w:rPr>
        <w:t>anemia</w:t>
      </w:r>
      <w:proofErr w:type="spellEnd"/>
      <w:r w:rsidRPr="00D01FDB">
        <w:rPr>
          <w:rFonts w:asciiTheme="minorHAnsi" w:hAnsiTheme="minorHAnsi" w:cstheme="minorHAnsi"/>
          <w:color w:val="000000" w:themeColor="text1"/>
          <w:lang w:val="en-IN"/>
        </w:rPr>
        <w:t>, constipation, and diarrhea.</w:t>
      </w:r>
    </w:p>
    <w:p w14:paraId="1CFFDAE4" w14:textId="77777777"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 </w:t>
      </w:r>
    </w:p>
    <w:p w14:paraId="1E7D104E" w14:textId="77777777" w:rsidR="00D01FDB" w:rsidRPr="00D01FDB" w:rsidRDefault="00D01FDB" w:rsidP="00D01FDB">
      <w:pPr>
        <w:shd w:val="clear" w:color="auto" w:fill="FFFFFF" w:themeFill="background1"/>
        <w:rPr>
          <w:rFonts w:asciiTheme="minorHAnsi" w:hAnsiTheme="minorHAnsi" w:cstheme="minorHAnsi"/>
          <w:color w:val="000000" w:themeColor="text1"/>
          <w:lang w:val="en-IN"/>
        </w:rPr>
      </w:pPr>
      <w:r w:rsidRPr="00D01FDB">
        <w:rPr>
          <w:rFonts w:asciiTheme="minorHAnsi" w:hAnsiTheme="minorHAnsi" w:cstheme="minorHAnsi"/>
          <w:b/>
          <w:bCs/>
          <w:color w:val="000000" w:themeColor="text1"/>
          <w:lang w:val="en-IN"/>
        </w:rPr>
        <w:t>Use in Specific Populations:</w:t>
      </w:r>
    </w:p>
    <w:p w14:paraId="3EE75202" w14:textId="77777777" w:rsidR="00D01FDB" w:rsidRPr="00D01FDB" w:rsidRDefault="00D01FDB" w:rsidP="009C33BC">
      <w:pPr>
        <w:numPr>
          <w:ilvl w:val="0"/>
          <w:numId w:val="22"/>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Pediatric patients: Recommended only for treatment of skeletally mature adolescents with giant cell tumor of bone.</w:t>
      </w:r>
    </w:p>
    <w:p w14:paraId="4B41F01E" w14:textId="77777777" w:rsidR="00D01FDB" w:rsidRPr="00D01FDB" w:rsidRDefault="00D01FDB" w:rsidP="009C33BC">
      <w:pPr>
        <w:numPr>
          <w:ilvl w:val="0"/>
          <w:numId w:val="22"/>
        </w:numPr>
        <w:shd w:val="clear" w:color="auto" w:fill="FFFFFF" w:themeFill="background1"/>
        <w:jc w:val="both"/>
        <w:rPr>
          <w:rFonts w:asciiTheme="minorHAnsi" w:hAnsiTheme="minorHAnsi" w:cstheme="minorHAnsi"/>
          <w:color w:val="000000" w:themeColor="text1"/>
          <w:lang w:val="en-IN"/>
        </w:rPr>
      </w:pPr>
      <w:r w:rsidRPr="00D01FDB">
        <w:rPr>
          <w:rFonts w:asciiTheme="minorHAnsi" w:hAnsiTheme="minorHAnsi" w:cstheme="minorHAnsi"/>
          <w:color w:val="000000" w:themeColor="text1"/>
          <w:lang w:val="en-IN"/>
        </w:rPr>
        <w:t>Renal impairment: Patients with creatinine clearance less than 30 mL/min or receiving dialysis are at risk for hypocalcemia. Adequately supplement with calcium and vitamin D.</w:t>
      </w:r>
    </w:p>
    <w:p w14:paraId="34BF1832" w14:textId="2040CD41" w:rsidR="27F0A7A4" w:rsidRPr="00410F55" w:rsidRDefault="27F0A7A4" w:rsidP="27F0A7A4">
      <w:pPr>
        <w:shd w:val="clear" w:color="auto" w:fill="FFFFFF" w:themeFill="background1"/>
        <w:rPr>
          <w:rFonts w:asciiTheme="minorHAnsi" w:hAnsiTheme="minorHAnsi" w:cstheme="minorHAnsi"/>
          <w:color w:val="000000" w:themeColor="text1"/>
          <w:lang w:val="en-IN"/>
        </w:rPr>
      </w:pPr>
    </w:p>
    <w:p w14:paraId="3753FECF" w14:textId="5518B8F7" w:rsidR="00BB54B2" w:rsidRPr="00410F55" w:rsidRDefault="00BB54B2" w:rsidP="00410F55">
      <w:pPr>
        <w:pStyle w:val="NoSpacing"/>
        <w:jc w:val="both"/>
        <w:rPr>
          <w:rFonts w:cstheme="minorHAnsi"/>
          <w:sz w:val="24"/>
          <w:szCs w:val="24"/>
          <w:lang w:val="en-US"/>
        </w:rPr>
      </w:pPr>
      <w:r w:rsidRPr="00410F55">
        <w:rPr>
          <w:rFonts w:cstheme="minorHAnsi"/>
          <w:sz w:val="24"/>
          <w:szCs w:val="24"/>
        </w:rPr>
        <w:t xml:space="preserve">Please refer to the full </w:t>
      </w:r>
      <w:r w:rsidR="6BC6755C" w:rsidRPr="00410F55">
        <w:rPr>
          <w:rFonts w:cstheme="minorHAnsi"/>
          <w:sz w:val="24"/>
          <w:szCs w:val="24"/>
        </w:rPr>
        <w:t xml:space="preserve">Patient Information </w:t>
      </w:r>
      <w:r w:rsidRPr="00410F55">
        <w:rPr>
          <w:rFonts w:cstheme="minorHAnsi"/>
          <w:sz w:val="24"/>
          <w:szCs w:val="24"/>
        </w:rPr>
        <w:t>for detailed safety information.</w:t>
      </w:r>
      <w:r w:rsidR="066E5E94" w:rsidRPr="00410F55">
        <w:rPr>
          <w:rFonts w:cstheme="minorHAnsi"/>
          <w:sz w:val="24"/>
          <w:szCs w:val="24"/>
        </w:rPr>
        <w:t xml:space="preserve"> </w:t>
      </w:r>
      <w:r w:rsidRPr="00410F55">
        <w:rPr>
          <w:rFonts w:cstheme="minorHAnsi"/>
          <w:sz w:val="24"/>
          <w:szCs w:val="24"/>
          <w:lang w:val="en-US"/>
        </w:rPr>
        <w:t>To report SUSPECTED ADVERSE REACTIONS, contact Biocon Biologics at 1-833-986-1468.</w:t>
      </w:r>
    </w:p>
    <w:p w14:paraId="2C632B42" w14:textId="77777777" w:rsidR="00BB54B2" w:rsidRPr="00DB1E17" w:rsidRDefault="00BB54B2" w:rsidP="00BB54B2">
      <w:pPr>
        <w:pStyle w:val="NoSpacing"/>
        <w:rPr>
          <w:rFonts w:cstheme="minorHAnsi"/>
          <w:sz w:val="20"/>
          <w:szCs w:val="20"/>
        </w:rPr>
      </w:pPr>
    </w:p>
    <w:p w14:paraId="737F5791" w14:textId="5FE2489F" w:rsidR="00BB54B2" w:rsidRPr="00DB1E17" w:rsidRDefault="000C79E5" w:rsidP="00BB54B2">
      <w:pPr>
        <w:rPr>
          <w:rFonts w:asciiTheme="minorHAnsi" w:hAnsiTheme="minorHAnsi" w:cstheme="minorHAnsi"/>
          <w:sz w:val="20"/>
          <w:szCs w:val="20"/>
          <w:lang w:val="en-IN"/>
        </w:rPr>
      </w:pPr>
      <w:r w:rsidRPr="00DB1E17">
        <w:rPr>
          <w:rFonts w:asciiTheme="minorHAnsi" w:hAnsiTheme="minorHAnsi" w:cstheme="minorHAnsi"/>
          <w:color w:val="000000" w:themeColor="text1"/>
          <w:sz w:val="20"/>
          <w:szCs w:val="20"/>
          <w:lang w:val="en-IN"/>
        </w:rPr>
        <w:t>Bosaya</w:t>
      </w:r>
      <w:r w:rsidR="7129DDF2" w:rsidRPr="00DB1E17">
        <w:rPr>
          <w:rFonts w:asciiTheme="minorHAnsi" w:hAnsiTheme="minorHAnsi" w:cstheme="minorHAnsi"/>
          <w:color w:val="000000" w:themeColor="text1"/>
          <w:sz w:val="20"/>
          <w:szCs w:val="20"/>
          <w:lang w:val="en-IN"/>
        </w:rPr>
        <w:t>™</w:t>
      </w:r>
      <w:r w:rsidR="00870390" w:rsidRPr="00DB1E17">
        <w:rPr>
          <w:rFonts w:asciiTheme="minorHAnsi" w:hAnsiTheme="minorHAnsi" w:cstheme="minorHAnsi"/>
          <w:color w:val="000000" w:themeColor="text1"/>
          <w:sz w:val="20"/>
          <w:szCs w:val="20"/>
          <w:lang w:val="en-IN"/>
        </w:rPr>
        <w:t xml:space="preserve"> </w:t>
      </w:r>
      <w:r w:rsidRPr="00DB1E17">
        <w:rPr>
          <w:rFonts w:asciiTheme="minorHAnsi" w:hAnsiTheme="minorHAnsi" w:cstheme="minorHAnsi"/>
          <w:color w:val="000000" w:themeColor="text1"/>
          <w:sz w:val="20"/>
          <w:szCs w:val="20"/>
          <w:lang w:val="en-IN"/>
        </w:rPr>
        <w:t>and Aukelso</w:t>
      </w:r>
      <w:r w:rsidR="35F32BB6" w:rsidRPr="00DB1E17">
        <w:rPr>
          <w:rFonts w:asciiTheme="minorHAnsi" w:hAnsiTheme="minorHAnsi" w:cstheme="minorHAnsi"/>
          <w:color w:val="000000" w:themeColor="text1"/>
          <w:sz w:val="20"/>
          <w:szCs w:val="20"/>
          <w:lang w:val="en-IN"/>
        </w:rPr>
        <w:t>™</w:t>
      </w:r>
      <w:r w:rsidRPr="00DB1E17">
        <w:rPr>
          <w:rFonts w:asciiTheme="minorHAnsi" w:hAnsiTheme="minorHAnsi" w:cstheme="minorHAnsi"/>
          <w:color w:val="000000" w:themeColor="text1"/>
          <w:sz w:val="20"/>
          <w:szCs w:val="20"/>
          <w:lang w:val="en-IN"/>
        </w:rPr>
        <w:t xml:space="preserve"> are </w:t>
      </w:r>
      <w:r w:rsidR="00BB54B2" w:rsidRPr="00DB1E17">
        <w:rPr>
          <w:rFonts w:asciiTheme="minorHAnsi" w:hAnsiTheme="minorHAnsi" w:cstheme="minorHAnsi"/>
          <w:sz w:val="20"/>
          <w:szCs w:val="20"/>
          <w:lang w:val="en-IN"/>
        </w:rPr>
        <w:t>trademark</w:t>
      </w:r>
      <w:r w:rsidRPr="00DB1E17">
        <w:rPr>
          <w:rFonts w:asciiTheme="minorHAnsi" w:hAnsiTheme="minorHAnsi" w:cstheme="minorHAnsi"/>
          <w:sz w:val="20"/>
          <w:szCs w:val="20"/>
          <w:lang w:val="en-IN"/>
        </w:rPr>
        <w:t>s</w:t>
      </w:r>
      <w:r w:rsidR="00BB54B2" w:rsidRPr="00DB1E17">
        <w:rPr>
          <w:rFonts w:asciiTheme="minorHAnsi" w:hAnsiTheme="minorHAnsi" w:cstheme="minorHAnsi"/>
          <w:sz w:val="20"/>
          <w:szCs w:val="20"/>
          <w:lang w:val="en-IN"/>
        </w:rPr>
        <w:t xml:space="preserve"> of Biocon Biologics </w:t>
      </w:r>
      <w:r w:rsidR="44588474" w:rsidRPr="00DB1E17">
        <w:rPr>
          <w:rFonts w:asciiTheme="minorHAnsi" w:hAnsiTheme="minorHAnsi" w:cstheme="minorHAnsi"/>
          <w:sz w:val="20"/>
          <w:szCs w:val="20"/>
          <w:lang w:val="en-IN"/>
        </w:rPr>
        <w:t>Limited</w:t>
      </w:r>
      <w:r w:rsidR="00BB54B2" w:rsidRPr="00DB1E17">
        <w:rPr>
          <w:rFonts w:asciiTheme="minorHAnsi" w:hAnsiTheme="minorHAnsi" w:cstheme="minorHAnsi"/>
          <w:sz w:val="20"/>
          <w:szCs w:val="20"/>
          <w:lang w:val="en-IN"/>
        </w:rPr>
        <w:t>.</w:t>
      </w:r>
      <w:r w:rsidR="00BB54B2" w:rsidRPr="00DB1E17">
        <w:rPr>
          <w:rFonts w:asciiTheme="minorHAnsi" w:hAnsiTheme="minorHAnsi" w:cstheme="minorHAnsi"/>
          <w:sz w:val="20"/>
          <w:szCs w:val="20"/>
        </w:rPr>
        <w:br/>
      </w:r>
      <w:r w:rsidR="00BB54B2" w:rsidRPr="00DB1E17">
        <w:rPr>
          <w:rFonts w:asciiTheme="minorHAnsi" w:hAnsiTheme="minorHAnsi" w:cstheme="minorHAnsi"/>
          <w:sz w:val="20"/>
          <w:szCs w:val="20"/>
          <w:lang w:val="en-IN"/>
        </w:rPr>
        <w:t>BIOCON BIOLOGICS and the Biocon Biologics Logo</w:t>
      </w:r>
      <w:r w:rsidR="7B26A333" w:rsidRPr="00DB1E17">
        <w:rPr>
          <w:rFonts w:asciiTheme="minorHAnsi" w:hAnsiTheme="minorHAnsi" w:cstheme="minorHAnsi"/>
          <w:sz w:val="20"/>
          <w:szCs w:val="20"/>
          <w:lang w:val="en-IN"/>
        </w:rPr>
        <w:t xml:space="preserve"> </w:t>
      </w:r>
      <w:r w:rsidR="00073FFF" w:rsidRPr="00DB1E17">
        <w:rPr>
          <w:rFonts w:asciiTheme="minorHAnsi" w:hAnsiTheme="minorHAnsi" w:cstheme="minorHAnsi"/>
          <w:sz w:val="20"/>
          <w:szCs w:val="20"/>
          <w:lang w:val="en-IN"/>
        </w:rPr>
        <w:t>are</w:t>
      </w:r>
      <w:r w:rsidR="7B26A333" w:rsidRPr="00DB1E17">
        <w:rPr>
          <w:rFonts w:asciiTheme="minorHAnsi" w:hAnsiTheme="minorHAnsi" w:cstheme="minorHAnsi"/>
          <w:sz w:val="20"/>
          <w:szCs w:val="20"/>
          <w:lang w:val="en-IN"/>
        </w:rPr>
        <w:t xml:space="preserve"> </w:t>
      </w:r>
      <w:r w:rsidR="7352BB44" w:rsidRPr="00DB1E17">
        <w:rPr>
          <w:rFonts w:asciiTheme="minorHAnsi" w:hAnsiTheme="minorHAnsi" w:cstheme="minorHAnsi"/>
          <w:sz w:val="20"/>
          <w:szCs w:val="20"/>
          <w:lang w:val="en-IN"/>
        </w:rPr>
        <w:t>registered</w:t>
      </w:r>
      <w:r w:rsidR="00BB54B2" w:rsidRPr="00DB1E17">
        <w:rPr>
          <w:rFonts w:asciiTheme="minorHAnsi" w:hAnsiTheme="minorHAnsi" w:cstheme="minorHAnsi"/>
          <w:sz w:val="20"/>
          <w:szCs w:val="20"/>
          <w:lang w:val="en-IN"/>
        </w:rPr>
        <w:t xml:space="preserve"> trademark</w:t>
      </w:r>
      <w:r w:rsidR="00DA3682" w:rsidRPr="00DB1E17">
        <w:rPr>
          <w:rFonts w:asciiTheme="minorHAnsi" w:hAnsiTheme="minorHAnsi" w:cstheme="minorHAnsi"/>
          <w:sz w:val="20"/>
          <w:szCs w:val="20"/>
          <w:lang w:val="en-IN"/>
        </w:rPr>
        <w:t>s</w:t>
      </w:r>
      <w:r w:rsidR="00BB54B2" w:rsidRPr="00DB1E17">
        <w:rPr>
          <w:rFonts w:asciiTheme="minorHAnsi" w:hAnsiTheme="minorHAnsi" w:cstheme="minorHAnsi"/>
          <w:sz w:val="20"/>
          <w:szCs w:val="20"/>
          <w:lang w:val="en-IN"/>
        </w:rPr>
        <w:t xml:space="preserve"> of Biocon Biologics Limited.</w:t>
      </w:r>
      <w:r w:rsidR="00BB54B2" w:rsidRPr="00DB1E17">
        <w:rPr>
          <w:rFonts w:asciiTheme="minorHAnsi" w:hAnsiTheme="minorHAnsi" w:cstheme="minorHAnsi"/>
          <w:sz w:val="20"/>
          <w:szCs w:val="20"/>
        </w:rPr>
        <w:br/>
      </w:r>
      <w:r w:rsidR="00BB54B2" w:rsidRPr="00DB1E17">
        <w:rPr>
          <w:rFonts w:asciiTheme="minorHAnsi" w:hAnsiTheme="minorHAnsi" w:cstheme="minorHAnsi"/>
          <w:sz w:val="20"/>
          <w:szCs w:val="20"/>
          <w:lang w:val="en-IN"/>
        </w:rPr>
        <w:t>All other trademarks are the property of their respective owners.</w:t>
      </w:r>
    </w:p>
    <w:p w14:paraId="1A18B1E4" w14:textId="77777777" w:rsidR="00BB54B2" w:rsidRPr="00DB1E17" w:rsidRDefault="00BB54B2" w:rsidP="00E22F99">
      <w:pPr>
        <w:shd w:val="clear" w:color="auto" w:fill="FFFFFF" w:themeFill="background1"/>
        <w:rPr>
          <w:rFonts w:asciiTheme="minorHAnsi" w:hAnsiTheme="minorHAnsi" w:cstheme="minorHAnsi"/>
          <w:color w:val="000000" w:themeColor="text1"/>
          <w:sz w:val="18"/>
          <w:szCs w:val="18"/>
          <w:lang w:val="en-IN"/>
        </w:rPr>
      </w:pPr>
    </w:p>
    <w:p w14:paraId="0B28325D" w14:textId="15DE3DE4" w:rsidR="005A374A" w:rsidRPr="00DB1E17" w:rsidRDefault="00C628A4" w:rsidP="00E22F99">
      <w:pPr>
        <w:shd w:val="clear" w:color="auto" w:fill="FFFFFF" w:themeFill="background1"/>
        <w:rPr>
          <w:rFonts w:asciiTheme="minorHAnsi" w:hAnsiTheme="minorHAnsi" w:cstheme="minorHAnsi"/>
          <w:color w:val="000000" w:themeColor="text1"/>
          <w:sz w:val="18"/>
          <w:szCs w:val="18"/>
          <w:lang w:val="en-IN"/>
        </w:rPr>
      </w:pPr>
      <w:r w:rsidRPr="00DB1E17">
        <w:rPr>
          <w:rFonts w:asciiTheme="minorHAnsi" w:hAnsiTheme="minorHAnsi" w:cstheme="minorHAnsi"/>
          <w:color w:val="000000" w:themeColor="text1"/>
          <w:sz w:val="18"/>
          <w:szCs w:val="18"/>
          <w:vertAlign w:val="superscript"/>
          <w:lang w:val="en-IN"/>
        </w:rPr>
        <w:t>1</w:t>
      </w:r>
      <w:r w:rsidR="00060BF2" w:rsidRPr="00DB1E17">
        <w:rPr>
          <w:rFonts w:asciiTheme="minorHAnsi" w:hAnsiTheme="minorHAnsi" w:cstheme="minorHAnsi"/>
          <w:color w:val="000000" w:themeColor="text1"/>
          <w:sz w:val="18"/>
          <w:szCs w:val="18"/>
          <w:lang w:val="en-IN"/>
        </w:rPr>
        <w:t xml:space="preserve"> </w:t>
      </w:r>
      <w:r w:rsidR="005A374A" w:rsidRPr="00DB1E17">
        <w:rPr>
          <w:rFonts w:asciiTheme="minorHAnsi" w:hAnsiTheme="minorHAnsi" w:cstheme="minorHAnsi"/>
          <w:color w:val="000000" w:themeColor="text1"/>
          <w:sz w:val="18"/>
          <w:szCs w:val="18"/>
          <w:lang w:val="en-IN"/>
        </w:rPr>
        <w:t>Bone Health and Osteoporosis Foundation</w:t>
      </w:r>
      <w:r w:rsidR="00551750" w:rsidRPr="00DB1E17">
        <w:rPr>
          <w:rFonts w:asciiTheme="minorHAnsi" w:hAnsiTheme="minorHAnsi" w:cstheme="minorHAnsi"/>
          <w:color w:val="000000" w:themeColor="text1"/>
          <w:sz w:val="18"/>
          <w:szCs w:val="18"/>
          <w:lang w:val="en-IN"/>
        </w:rPr>
        <w:t xml:space="preserve">. </w:t>
      </w:r>
      <w:r w:rsidR="00113630" w:rsidRPr="00DB1E17">
        <w:rPr>
          <w:rFonts w:asciiTheme="minorHAnsi" w:hAnsiTheme="minorHAnsi" w:cstheme="minorHAnsi"/>
          <w:color w:val="000000" w:themeColor="text1"/>
          <w:sz w:val="18"/>
          <w:szCs w:val="18"/>
          <w:lang w:val="en-IN"/>
        </w:rPr>
        <w:t>“</w:t>
      </w:r>
      <w:r w:rsidR="00551750" w:rsidRPr="00DB1E17">
        <w:rPr>
          <w:rFonts w:asciiTheme="minorHAnsi" w:hAnsiTheme="minorHAnsi" w:cstheme="minorHAnsi"/>
          <w:color w:val="000000" w:themeColor="text1"/>
          <w:sz w:val="18"/>
          <w:szCs w:val="18"/>
          <w:lang w:val="en-IN"/>
        </w:rPr>
        <w:t>Osteoporosis Fast Facts.</w:t>
      </w:r>
      <w:r w:rsidR="00113630" w:rsidRPr="00DB1E17">
        <w:rPr>
          <w:rFonts w:asciiTheme="minorHAnsi" w:hAnsiTheme="minorHAnsi" w:cstheme="minorHAnsi"/>
          <w:color w:val="000000" w:themeColor="text1"/>
          <w:sz w:val="18"/>
          <w:szCs w:val="18"/>
          <w:lang w:val="en-IN"/>
        </w:rPr>
        <w:t>” Accessed: September 14, 2025.</w:t>
      </w:r>
      <w:r w:rsidR="00060BF2" w:rsidRPr="00DB1E17">
        <w:rPr>
          <w:rFonts w:asciiTheme="minorHAnsi" w:hAnsiTheme="minorHAnsi" w:cstheme="minorHAnsi"/>
          <w:color w:val="000000" w:themeColor="text1"/>
          <w:sz w:val="18"/>
          <w:szCs w:val="18"/>
          <w:lang w:val="en-IN"/>
        </w:rPr>
        <w:t xml:space="preserve"> </w:t>
      </w:r>
      <w:hyperlink r:id="rId12" w:history="1">
        <w:r w:rsidR="00060BF2" w:rsidRPr="00DB1E17">
          <w:rPr>
            <w:rStyle w:val="Hyperlink"/>
            <w:rFonts w:asciiTheme="minorHAnsi" w:hAnsiTheme="minorHAnsi" w:cstheme="minorHAnsi"/>
            <w:sz w:val="18"/>
            <w:szCs w:val="18"/>
            <w:lang w:val="en-IN"/>
          </w:rPr>
          <w:t>https://www.bonehealthandosteoporosis.org/wp-content/uploads/Osteoporosis-Fast-Facts-2.pdf</w:t>
        </w:r>
      </w:hyperlink>
    </w:p>
    <w:p w14:paraId="7F60444C" w14:textId="31A2C3A0" w:rsidR="00060BF2" w:rsidRPr="00DB1E17" w:rsidRDefault="00C628A4" w:rsidP="00E22F99">
      <w:pPr>
        <w:shd w:val="clear" w:color="auto" w:fill="FFFFFF" w:themeFill="background1"/>
        <w:rPr>
          <w:rFonts w:asciiTheme="minorHAnsi" w:hAnsiTheme="minorHAnsi" w:cstheme="minorHAnsi"/>
          <w:color w:val="000000" w:themeColor="text1"/>
          <w:sz w:val="18"/>
          <w:szCs w:val="18"/>
        </w:rPr>
      </w:pPr>
      <w:r w:rsidRPr="00DB1E17">
        <w:rPr>
          <w:rFonts w:asciiTheme="minorHAnsi" w:hAnsiTheme="minorHAnsi" w:cstheme="minorHAnsi"/>
          <w:color w:val="000000" w:themeColor="text1"/>
          <w:sz w:val="18"/>
          <w:szCs w:val="18"/>
          <w:vertAlign w:val="superscript"/>
          <w:lang w:val="en-IN"/>
        </w:rPr>
        <w:t>2</w:t>
      </w:r>
      <w:r w:rsidR="00DB7E93" w:rsidRPr="00DB1E17">
        <w:rPr>
          <w:rFonts w:asciiTheme="minorHAnsi" w:hAnsiTheme="minorHAnsi" w:cstheme="minorHAnsi"/>
          <w:color w:val="000000" w:themeColor="text1"/>
          <w:sz w:val="18"/>
          <w:szCs w:val="18"/>
          <w:lang w:val="en-IN"/>
        </w:rPr>
        <w:t xml:space="preserve"> American Medical Association. “</w:t>
      </w:r>
      <w:r w:rsidR="00DB7E93" w:rsidRPr="00DB1E17">
        <w:rPr>
          <w:rFonts w:asciiTheme="minorHAnsi" w:hAnsiTheme="minorHAnsi" w:cstheme="minorHAnsi"/>
          <w:color w:val="000000" w:themeColor="text1"/>
          <w:sz w:val="18"/>
          <w:szCs w:val="18"/>
        </w:rPr>
        <w:t xml:space="preserve">What doctors wish patients knew about osteoporosis.” Accessed: September 14, 2025. Published: </w:t>
      </w:r>
      <w:r w:rsidR="00C46243" w:rsidRPr="00DB1E17">
        <w:rPr>
          <w:rFonts w:asciiTheme="minorHAnsi" w:hAnsiTheme="minorHAnsi" w:cstheme="minorHAnsi"/>
          <w:color w:val="000000" w:themeColor="text1"/>
          <w:sz w:val="18"/>
          <w:szCs w:val="18"/>
        </w:rPr>
        <w:t xml:space="preserve">May 3, 2024. </w:t>
      </w:r>
      <w:hyperlink r:id="rId13" w:history="1">
        <w:r w:rsidR="00C46243" w:rsidRPr="00DB1E17">
          <w:rPr>
            <w:rStyle w:val="Hyperlink"/>
            <w:rFonts w:asciiTheme="minorHAnsi" w:hAnsiTheme="minorHAnsi" w:cstheme="minorHAnsi"/>
            <w:sz w:val="18"/>
            <w:szCs w:val="18"/>
          </w:rPr>
          <w:t>https://www.ama-assn.org/public-health/prevention-wellness/what-doctors-wish-patients-knew-about-osteoporosis</w:t>
        </w:r>
      </w:hyperlink>
    </w:p>
    <w:p w14:paraId="0BD118A7" w14:textId="0B5F3D2B" w:rsidR="00B53607" w:rsidRPr="00DB1E17" w:rsidRDefault="00C628A4" w:rsidP="00D335EA">
      <w:pPr>
        <w:shd w:val="clear" w:color="auto" w:fill="FFFFFF" w:themeFill="background1"/>
        <w:rPr>
          <w:rFonts w:asciiTheme="minorHAnsi" w:hAnsiTheme="minorHAnsi" w:cstheme="minorHAnsi"/>
          <w:color w:val="000000" w:themeColor="text1"/>
          <w:sz w:val="18"/>
          <w:szCs w:val="18"/>
        </w:rPr>
      </w:pPr>
      <w:r w:rsidRPr="00DB1E17">
        <w:rPr>
          <w:rFonts w:asciiTheme="minorHAnsi" w:hAnsiTheme="minorHAnsi" w:cstheme="minorHAnsi"/>
          <w:color w:val="000000" w:themeColor="text1"/>
          <w:sz w:val="18"/>
          <w:szCs w:val="18"/>
          <w:vertAlign w:val="superscript"/>
          <w:lang w:val="en-IN"/>
        </w:rPr>
        <w:lastRenderedPageBreak/>
        <w:t>3</w:t>
      </w:r>
      <w:r w:rsidR="00D335EA" w:rsidRPr="00DB1E17">
        <w:rPr>
          <w:rFonts w:asciiTheme="minorHAnsi" w:hAnsiTheme="minorHAnsi" w:cstheme="minorHAnsi"/>
          <w:color w:val="000000" w:themeColor="text1"/>
          <w:sz w:val="18"/>
          <w:szCs w:val="18"/>
          <w:lang w:val="en-IN"/>
        </w:rPr>
        <w:t xml:space="preserve"> </w:t>
      </w:r>
      <w:r w:rsidR="00D335EA" w:rsidRPr="00DB1E17">
        <w:rPr>
          <w:rFonts w:asciiTheme="minorHAnsi" w:hAnsiTheme="minorHAnsi" w:cstheme="minorHAnsi"/>
          <w:color w:val="000000" w:themeColor="text1"/>
          <w:sz w:val="18"/>
          <w:szCs w:val="18"/>
        </w:rPr>
        <w:t xml:space="preserve">Hernandez RK, </w:t>
      </w:r>
      <w:proofErr w:type="spellStart"/>
      <w:r w:rsidR="00D335EA" w:rsidRPr="00DB1E17">
        <w:rPr>
          <w:rFonts w:asciiTheme="minorHAnsi" w:hAnsiTheme="minorHAnsi" w:cstheme="minorHAnsi"/>
          <w:color w:val="000000" w:themeColor="text1"/>
          <w:sz w:val="18"/>
          <w:szCs w:val="18"/>
        </w:rPr>
        <w:t>Adhia</w:t>
      </w:r>
      <w:proofErr w:type="spellEnd"/>
      <w:r w:rsidR="00D335EA" w:rsidRPr="00DB1E17">
        <w:rPr>
          <w:rFonts w:asciiTheme="minorHAnsi" w:hAnsiTheme="minorHAnsi" w:cstheme="minorHAnsi"/>
          <w:color w:val="000000" w:themeColor="text1"/>
          <w:sz w:val="18"/>
          <w:szCs w:val="18"/>
        </w:rPr>
        <w:t xml:space="preserve"> A, Wade SW, O'Connor E, Arellano J, Francis K, </w:t>
      </w:r>
      <w:proofErr w:type="spellStart"/>
      <w:r w:rsidR="00D335EA" w:rsidRPr="00DB1E17">
        <w:rPr>
          <w:rFonts w:asciiTheme="minorHAnsi" w:hAnsiTheme="minorHAnsi" w:cstheme="minorHAnsi"/>
          <w:color w:val="000000" w:themeColor="text1"/>
          <w:sz w:val="18"/>
          <w:szCs w:val="18"/>
        </w:rPr>
        <w:t>Alvrtsyan</w:t>
      </w:r>
      <w:proofErr w:type="spellEnd"/>
      <w:r w:rsidR="00D335EA" w:rsidRPr="00DB1E17">
        <w:rPr>
          <w:rFonts w:asciiTheme="minorHAnsi" w:hAnsiTheme="minorHAnsi" w:cstheme="minorHAnsi"/>
          <w:color w:val="000000" w:themeColor="text1"/>
          <w:sz w:val="18"/>
          <w:szCs w:val="18"/>
        </w:rPr>
        <w:t xml:space="preserve"> H, Million RP, </w:t>
      </w:r>
      <w:proofErr w:type="spellStart"/>
      <w:r w:rsidR="00D335EA" w:rsidRPr="00DB1E17">
        <w:rPr>
          <w:rFonts w:asciiTheme="minorHAnsi" w:hAnsiTheme="minorHAnsi" w:cstheme="minorHAnsi"/>
          <w:color w:val="000000" w:themeColor="text1"/>
          <w:sz w:val="18"/>
          <w:szCs w:val="18"/>
        </w:rPr>
        <w:t>Liede</w:t>
      </w:r>
      <w:proofErr w:type="spellEnd"/>
      <w:r w:rsidR="00D335EA" w:rsidRPr="00DB1E17">
        <w:rPr>
          <w:rFonts w:asciiTheme="minorHAnsi" w:hAnsiTheme="minorHAnsi" w:cstheme="minorHAnsi"/>
          <w:color w:val="000000" w:themeColor="text1"/>
          <w:sz w:val="18"/>
          <w:szCs w:val="18"/>
        </w:rPr>
        <w:t xml:space="preserve"> A. Prevalence of bone metastases and bone-targeting agent use among solid tumor patients in the United States. Clin Epidemiol. 2015 Jul 17;7:335-45.</w:t>
      </w:r>
    </w:p>
    <w:p w14:paraId="10854DDC" w14:textId="0B5E0F38" w:rsidR="00BB54B2" w:rsidRPr="00DB1E17" w:rsidRDefault="00C628A4" w:rsidP="00E22F99">
      <w:pPr>
        <w:shd w:val="clear" w:color="auto" w:fill="FFFFFF" w:themeFill="background1"/>
        <w:rPr>
          <w:rFonts w:asciiTheme="minorHAnsi" w:hAnsiTheme="minorHAnsi" w:cstheme="minorHAnsi"/>
          <w:color w:val="000000" w:themeColor="text1"/>
          <w:sz w:val="18"/>
          <w:szCs w:val="18"/>
          <w:lang w:val="en-IN"/>
        </w:rPr>
      </w:pPr>
      <w:r w:rsidRPr="00DB1E17">
        <w:rPr>
          <w:rFonts w:asciiTheme="minorHAnsi" w:hAnsiTheme="minorHAnsi" w:cstheme="minorHAnsi"/>
          <w:color w:val="000000" w:themeColor="text1"/>
          <w:sz w:val="18"/>
          <w:szCs w:val="18"/>
          <w:vertAlign w:val="superscript"/>
          <w:lang w:val="en-IN"/>
        </w:rPr>
        <w:t>4</w:t>
      </w:r>
      <w:r w:rsidR="00475BB1" w:rsidRPr="00DB1E17">
        <w:rPr>
          <w:rFonts w:asciiTheme="minorHAnsi" w:hAnsiTheme="minorHAnsi" w:cstheme="minorHAnsi"/>
          <w:color w:val="000000" w:themeColor="text1"/>
          <w:sz w:val="18"/>
          <w:szCs w:val="18"/>
          <w:lang w:val="en-IN"/>
        </w:rPr>
        <w:t xml:space="preserve"> </w:t>
      </w:r>
      <w:r w:rsidR="000D29CD" w:rsidRPr="00DB1E17">
        <w:rPr>
          <w:rFonts w:asciiTheme="minorHAnsi" w:hAnsiTheme="minorHAnsi" w:cstheme="minorHAnsi"/>
          <w:color w:val="000000" w:themeColor="text1"/>
          <w:sz w:val="18"/>
          <w:szCs w:val="18"/>
          <w:lang w:val="en-IN"/>
        </w:rPr>
        <w:t xml:space="preserve">Moffitt Cancer </w:t>
      </w:r>
      <w:proofErr w:type="spellStart"/>
      <w:r w:rsidR="000D29CD" w:rsidRPr="00DB1E17">
        <w:rPr>
          <w:rFonts w:asciiTheme="minorHAnsi" w:hAnsiTheme="minorHAnsi" w:cstheme="minorHAnsi"/>
          <w:color w:val="000000" w:themeColor="text1"/>
          <w:sz w:val="18"/>
          <w:szCs w:val="18"/>
          <w:lang w:val="en-IN"/>
        </w:rPr>
        <w:t>Center</w:t>
      </w:r>
      <w:proofErr w:type="spellEnd"/>
      <w:r w:rsidR="000D29CD" w:rsidRPr="00DB1E17">
        <w:rPr>
          <w:rFonts w:asciiTheme="minorHAnsi" w:hAnsiTheme="minorHAnsi" w:cstheme="minorHAnsi"/>
          <w:color w:val="000000" w:themeColor="text1"/>
          <w:sz w:val="18"/>
          <w:szCs w:val="18"/>
          <w:lang w:val="en-IN"/>
        </w:rPr>
        <w:t xml:space="preserve">. “Bone Metastasis.” Accessed: September 14, 2025. </w:t>
      </w:r>
      <w:hyperlink r:id="rId14" w:history="1">
        <w:r w:rsidR="000D29CD" w:rsidRPr="00DB1E17">
          <w:rPr>
            <w:rStyle w:val="Hyperlink"/>
            <w:rFonts w:asciiTheme="minorHAnsi" w:hAnsiTheme="minorHAnsi" w:cstheme="minorHAnsi"/>
            <w:sz w:val="18"/>
            <w:szCs w:val="18"/>
            <w:lang w:val="en-IN"/>
          </w:rPr>
          <w:t>https://www.moffitt.org/cancers/bone-metastasis/</w:t>
        </w:r>
      </w:hyperlink>
    </w:p>
    <w:p w14:paraId="7CDAE928" w14:textId="24B04EFE" w:rsidR="00B53607" w:rsidRPr="00DB1E17" w:rsidRDefault="00C628A4" w:rsidP="00E22F99">
      <w:pPr>
        <w:shd w:val="clear" w:color="auto" w:fill="FFFFFF" w:themeFill="background1"/>
        <w:rPr>
          <w:rFonts w:asciiTheme="minorHAnsi" w:hAnsiTheme="minorHAnsi" w:cstheme="minorHAnsi"/>
          <w:color w:val="000000" w:themeColor="text1"/>
          <w:sz w:val="18"/>
          <w:szCs w:val="18"/>
        </w:rPr>
      </w:pPr>
      <w:r w:rsidRPr="00DB1E17">
        <w:rPr>
          <w:rFonts w:asciiTheme="minorHAnsi" w:hAnsiTheme="minorHAnsi" w:cstheme="minorHAnsi"/>
          <w:color w:val="000000" w:themeColor="text1"/>
          <w:sz w:val="18"/>
          <w:szCs w:val="18"/>
          <w:vertAlign w:val="superscript"/>
          <w:lang w:val="en-IN"/>
        </w:rPr>
        <w:t>5</w:t>
      </w:r>
      <w:r w:rsidR="001B39BB" w:rsidRPr="00DB1E17">
        <w:rPr>
          <w:rFonts w:asciiTheme="minorHAnsi" w:hAnsiTheme="minorHAnsi" w:cstheme="minorHAnsi"/>
          <w:color w:val="000000" w:themeColor="text1"/>
          <w:sz w:val="18"/>
          <w:szCs w:val="18"/>
          <w:lang w:val="en-IN"/>
        </w:rPr>
        <w:t xml:space="preserve"> American Cancer </w:t>
      </w:r>
      <w:proofErr w:type="spellStart"/>
      <w:r w:rsidR="001B39BB" w:rsidRPr="00DB1E17">
        <w:rPr>
          <w:rFonts w:asciiTheme="minorHAnsi" w:hAnsiTheme="minorHAnsi" w:cstheme="minorHAnsi"/>
          <w:color w:val="000000" w:themeColor="text1"/>
          <w:sz w:val="18"/>
          <w:szCs w:val="18"/>
          <w:lang w:val="en-IN"/>
        </w:rPr>
        <w:t>Center</w:t>
      </w:r>
      <w:proofErr w:type="spellEnd"/>
      <w:r w:rsidR="001B39BB" w:rsidRPr="00DB1E17">
        <w:rPr>
          <w:rFonts w:asciiTheme="minorHAnsi" w:hAnsiTheme="minorHAnsi" w:cstheme="minorHAnsi"/>
          <w:color w:val="000000" w:themeColor="text1"/>
          <w:sz w:val="18"/>
          <w:szCs w:val="18"/>
          <w:lang w:val="en-IN"/>
        </w:rPr>
        <w:t>. “</w:t>
      </w:r>
      <w:r w:rsidR="001B39BB" w:rsidRPr="00DB1E17">
        <w:rPr>
          <w:rFonts w:asciiTheme="minorHAnsi" w:hAnsiTheme="minorHAnsi" w:cstheme="minorHAnsi"/>
          <w:color w:val="000000" w:themeColor="text1"/>
          <w:sz w:val="18"/>
          <w:szCs w:val="18"/>
        </w:rPr>
        <w:t>Bone Metastases.” Accessed: September 14, 2025.</w:t>
      </w:r>
      <w:r w:rsidR="007903DD" w:rsidRPr="00DB1E17">
        <w:rPr>
          <w:rFonts w:asciiTheme="minorHAnsi" w:hAnsiTheme="minorHAnsi" w:cstheme="minorHAnsi"/>
          <w:color w:val="000000" w:themeColor="text1"/>
          <w:sz w:val="18"/>
          <w:szCs w:val="18"/>
        </w:rPr>
        <w:t xml:space="preserve"> </w:t>
      </w:r>
      <w:hyperlink r:id="rId15" w:history="1">
        <w:r w:rsidR="007903DD" w:rsidRPr="00DB1E17">
          <w:rPr>
            <w:rStyle w:val="Hyperlink"/>
            <w:rFonts w:asciiTheme="minorHAnsi" w:hAnsiTheme="minorHAnsi" w:cstheme="minorHAnsi"/>
            <w:sz w:val="18"/>
            <w:szCs w:val="18"/>
          </w:rPr>
          <w:t>https://www.cancer.org/cancer/managing-cancer/advanced-cancer/bone-metastases.html</w:t>
        </w:r>
      </w:hyperlink>
    </w:p>
    <w:p w14:paraId="54FF84A1" w14:textId="77777777" w:rsidR="00725C5C" w:rsidRPr="00410F55" w:rsidRDefault="00725C5C" w:rsidP="00E22F99">
      <w:pPr>
        <w:shd w:val="clear" w:color="auto" w:fill="FFFFFF" w:themeFill="background1"/>
        <w:rPr>
          <w:rFonts w:asciiTheme="minorHAnsi" w:hAnsiTheme="minorHAnsi" w:cstheme="minorHAnsi"/>
          <w:color w:val="000000" w:themeColor="text1"/>
          <w:lang w:val="en-IN"/>
        </w:rPr>
      </w:pPr>
    </w:p>
    <w:p w14:paraId="54ACC5FE" w14:textId="77777777" w:rsidR="00D64794" w:rsidRPr="00DB1E17" w:rsidRDefault="00D64794" w:rsidP="00D64794">
      <w:pPr>
        <w:shd w:val="clear" w:color="auto" w:fill="FFFFFF" w:themeFill="background1"/>
        <w:jc w:val="both"/>
        <w:rPr>
          <w:rFonts w:asciiTheme="minorHAnsi" w:hAnsiTheme="minorHAnsi" w:cstheme="minorHAnsi"/>
          <w:b/>
          <w:bCs/>
          <w:color w:val="000000" w:themeColor="text1"/>
          <w:sz w:val="20"/>
          <w:szCs w:val="20"/>
        </w:rPr>
      </w:pPr>
      <w:r w:rsidRPr="00DB1E17">
        <w:rPr>
          <w:rFonts w:asciiTheme="minorHAnsi" w:hAnsiTheme="minorHAnsi" w:cstheme="minorHAnsi"/>
          <w:b/>
          <w:bCs/>
          <w:color w:val="000000" w:themeColor="text1"/>
          <w:sz w:val="20"/>
          <w:szCs w:val="20"/>
        </w:rPr>
        <w:t>About Biocon Biologics Limited: </w:t>
      </w:r>
    </w:p>
    <w:p w14:paraId="0334920B" w14:textId="77777777" w:rsidR="00D64794" w:rsidRPr="00DB1E17" w:rsidRDefault="00D64794" w:rsidP="00D64794">
      <w:pPr>
        <w:shd w:val="clear" w:color="auto" w:fill="FFFFFF" w:themeFill="background1"/>
        <w:jc w:val="both"/>
        <w:rPr>
          <w:rFonts w:asciiTheme="minorHAnsi" w:hAnsiTheme="minorHAnsi" w:cstheme="minorHAnsi"/>
          <w:color w:val="000000" w:themeColor="text1"/>
          <w:sz w:val="20"/>
          <w:szCs w:val="20"/>
        </w:rPr>
      </w:pPr>
    </w:p>
    <w:p w14:paraId="12D371A3" w14:textId="77777777" w:rsidR="00D64794" w:rsidRPr="00DB1E17" w:rsidRDefault="00D64794" w:rsidP="00D64794">
      <w:pPr>
        <w:shd w:val="clear" w:color="auto" w:fill="FFFFFF" w:themeFill="background1"/>
        <w:jc w:val="both"/>
        <w:rPr>
          <w:rFonts w:asciiTheme="minorHAnsi" w:eastAsiaTheme="minorHAnsi" w:hAnsiTheme="minorHAnsi" w:cstheme="minorHAnsi"/>
          <w:color w:val="000000" w:themeColor="text1"/>
          <w:sz w:val="20"/>
          <w:szCs w:val="20"/>
        </w:rPr>
      </w:pPr>
      <w:r w:rsidRPr="00DB1E17">
        <w:rPr>
          <w:rFonts w:asciiTheme="minorHAnsi" w:eastAsiaTheme="minorHAnsi" w:hAnsiTheme="minorHAnsi" w:cstheme="minorHAnsi"/>
          <w:b/>
          <w:bCs/>
          <w:color w:val="000000" w:themeColor="text1"/>
          <w:sz w:val="20"/>
          <w:szCs w:val="20"/>
        </w:rPr>
        <w:t xml:space="preserve">Biocon Biologics Limited, </w:t>
      </w:r>
      <w:r w:rsidRPr="00DB1E17">
        <w:rPr>
          <w:rFonts w:asciiTheme="minorHAnsi" w:eastAsiaTheme="minorHAnsi" w:hAnsiTheme="minorHAnsi" w:cstheme="minorHAnsi"/>
          <w:color w:val="000000" w:themeColor="text1"/>
          <w:sz w:val="20"/>
          <w:szCs w:val="20"/>
        </w:rPr>
        <w:t>a subsidiary of Biocon Limited, is a unique, fully integrated, global biosimilars company committed to transforming healthcare and transforming lives. It is capitalizing on its ‘lab to market’ capabilities to serve over 6.0 million patients across 120+ countries by enabling affordable access to high quality biosimilars. The Company is leveraging cutting-edge science, innovative tech platforms, global scale manufacturing capabilities and world-class quality systems to lower costs of biological therapeutics while improving healthcare outcomes.</w:t>
      </w:r>
    </w:p>
    <w:p w14:paraId="54BB3230" w14:textId="77777777" w:rsidR="00D64794" w:rsidRPr="00DB1E17" w:rsidRDefault="00D64794" w:rsidP="00D64794">
      <w:pPr>
        <w:shd w:val="clear" w:color="auto" w:fill="FFFFFF" w:themeFill="background1"/>
        <w:jc w:val="both"/>
        <w:rPr>
          <w:rFonts w:asciiTheme="minorHAnsi" w:eastAsiaTheme="minorHAnsi" w:hAnsiTheme="minorHAnsi" w:cstheme="minorHAnsi"/>
          <w:color w:val="000000" w:themeColor="text1"/>
          <w:sz w:val="20"/>
          <w:szCs w:val="20"/>
        </w:rPr>
      </w:pPr>
      <w:r w:rsidRPr="00DB1E17">
        <w:rPr>
          <w:rFonts w:asciiTheme="minorHAnsi" w:eastAsiaTheme="minorHAnsi" w:hAnsiTheme="minorHAnsi" w:cstheme="minorHAnsi"/>
          <w:color w:val="000000" w:themeColor="text1"/>
          <w:sz w:val="20"/>
          <w:szCs w:val="20"/>
        </w:rPr>
        <w:t> </w:t>
      </w:r>
    </w:p>
    <w:p w14:paraId="2C814038" w14:textId="77777777" w:rsidR="00D64794" w:rsidRPr="00DB1E17" w:rsidRDefault="00D64794" w:rsidP="00D64794">
      <w:pPr>
        <w:shd w:val="clear" w:color="auto" w:fill="FFFFFF" w:themeFill="background1"/>
        <w:jc w:val="both"/>
        <w:rPr>
          <w:rFonts w:asciiTheme="minorHAnsi" w:eastAsiaTheme="minorHAnsi" w:hAnsiTheme="minorHAnsi" w:cstheme="minorHAnsi"/>
          <w:color w:val="000000" w:themeColor="text1"/>
          <w:sz w:val="20"/>
          <w:szCs w:val="20"/>
        </w:rPr>
      </w:pPr>
      <w:r w:rsidRPr="00DB1E17">
        <w:rPr>
          <w:rFonts w:asciiTheme="minorHAnsi" w:eastAsiaTheme="minorHAnsi" w:hAnsiTheme="minorHAnsi" w:cstheme="minorHAnsi"/>
          <w:color w:val="000000" w:themeColor="text1"/>
          <w:sz w:val="20"/>
          <w:szCs w:val="20"/>
        </w:rPr>
        <w:t xml:space="preserve">Biocon Biologics has commercialized 10 biosimilars from its portfolio which are addressing the patients’ needs in key emerging markets and advanced markets like U.S., Europe, Australia, Canada, and Japan. It has a pipeline of 20 biosimilar assets across diabetology, oncology, immunology, ophthalmology, bone health and other non-communicable diseases. The Company has many ‘firsts’ to its credit in the biosimilars industry. As part of its environmental, social and governance (ESG) commitment, it is advancing the health of patients, people, and the planet to achieve key UN Sustainable Development Goals (SDGs). The meaningful progress on ESG parameters has been recognized with the Company's inclusion in the S&amp;P Global Sustainability Yearbook in 2025. Website: </w:t>
      </w:r>
      <w:hyperlink r:id="rId16" w:history="1">
        <w:r w:rsidRPr="00DB1E17">
          <w:rPr>
            <w:rStyle w:val="Hyperlink"/>
            <w:rFonts w:asciiTheme="minorHAnsi" w:eastAsiaTheme="minorHAnsi" w:hAnsiTheme="minorHAnsi" w:cstheme="minorHAnsi"/>
            <w:sz w:val="20"/>
            <w:szCs w:val="20"/>
          </w:rPr>
          <w:t>www.bioconbiologics.com</w:t>
        </w:r>
      </w:hyperlink>
      <w:r w:rsidRPr="00DB1E17">
        <w:rPr>
          <w:rFonts w:asciiTheme="minorHAnsi" w:eastAsiaTheme="minorHAnsi" w:hAnsiTheme="minorHAnsi" w:cstheme="minorHAnsi"/>
          <w:color w:val="000000" w:themeColor="text1"/>
          <w:sz w:val="20"/>
          <w:szCs w:val="20"/>
        </w:rPr>
        <w:t xml:space="preserve">; Follow us on  X </w:t>
      </w:r>
      <w:r w:rsidRPr="00DB1E17">
        <w:rPr>
          <w:rFonts w:asciiTheme="minorHAnsi" w:eastAsiaTheme="minorHAnsi" w:hAnsiTheme="minorHAnsi" w:cstheme="minorHAnsi"/>
          <w:i/>
          <w:iCs/>
          <w:color w:val="000000" w:themeColor="text1"/>
          <w:sz w:val="20"/>
          <w:szCs w:val="20"/>
        </w:rPr>
        <w:t>(formerly Twitter)</w:t>
      </w:r>
      <w:r w:rsidRPr="00DB1E17">
        <w:rPr>
          <w:rFonts w:asciiTheme="minorHAnsi" w:eastAsiaTheme="minorHAnsi" w:hAnsiTheme="minorHAnsi" w:cstheme="minorHAnsi"/>
          <w:color w:val="000000" w:themeColor="text1"/>
          <w:sz w:val="20"/>
          <w:szCs w:val="20"/>
        </w:rPr>
        <w:t xml:space="preserve">: @BioconBiologics and LinkedIn: </w:t>
      </w:r>
      <w:hyperlink r:id="rId17" w:history="1">
        <w:r w:rsidRPr="00DB1E17">
          <w:rPr>
            <w:rStyle w:val="Hyperlink"/>
            <w:rFonts w:asciiTheme="minorHAnsi" w:eastAsiaTheme="minorHAnsi" w:hAnsiTheme="minorHAnsi" w:cstheme="minorHAnsi"/>
            <w:sz w:val="20"/>
            <w:szCs w:val="20"/>
          </w:rPr>
          <w:t>Biocon Biologics</w:t>
        </w:r>
      </w:hyperlink>
      <w:r w:rsidRPr="00DB1E17">
        <w:rPr>
          <w:rFonts w:asciiTheme="minorHAnsi" w:eastAsiaTheme="minorHAnsi" w:hAnsiTheme="minorHAnsi" w:cstheme="minorHAnsi"/>
          <w:color w:val="000000" w:themeColor="text1"/>
          <w:sz w:val="20"/>
          <w:szCs w:val="20"/>
        </w:rPr>
        <w:t> for company updates.</w:t>
      </w:r>
    </w:p>
    <w:p w14:paraId="75896395" w14:textId="77777777" w:rsidR="00D64794" w:rsidRPr="00DB1E17" w:rsidRDefault="00D64794" w:rsidP="00D64794">
      <w:pPr>
        <w:shd w:val="clear" w:color="auto" w:fill="FFFFFF"/>
        <w:jc w:val="both"/>
        <w:rPr>
          <w:rFonts w:asciiTheme="minorHAnsi" w:hAnsiTheme="minorHAnsi" w:cstheme="minorHAnsi"/>
          <w:color w:val="000000" w:themeColor="text1"/>
          <w:sz w:val="20"/>
          <w:szCs w:val="20"/>
          <w:lang w:val="en-IN"/>
        </w:rPr>
      </w:pPr>
    </w:p>
    <w:p w14:paraId="32BE30A8" w14:textId="77777777" w:rsidR="00D64794" w:rsidRPr="00DB1E17" w:rsidRDefault="00D64794" w:rsidP="00D64794">
      <w:pPr>
        <w:shd w:val="clear" w:color="auto" w:fill="FFFFFF" w:themeFill="background1"/>
        <w:jc w:val="both"/>
        <w:rPr>
          <w:rFonts w:asciiTheme="minorHAnsi" w:hAnsiTheme="minorHAnsi" w:cstheme="minorHAnsi"/>
          <w:color w:val="000000" w:themeColor="text1"/>
          <w:sz w:val="20"/>
          <w:szCs w:val="20"/>
        </w:rPr>
      </w:pPr>
      <w:r w:rsidRPr="00DB1E17">
        <w:rPr>
          <w:rFonts w:asciiTheme="minorHAnsi" w:hAnsiTheme="minorHAnsi" w:cstheme="minorHAnsi"/>
          <w:b/>
          <w:bCs/>
          <w:color w:val="000000" w:themeColor="text1"/>
          <w:sz w:val="20"/>
          <w:szCs w:val="20"/>
        </w:rPr>
        <w:t>Biocon Limited,</w:t>
      </w:r>
      <w:r w:rsidRPr="00DB1E17">
        <w:rPr>
          <w:rFonts w:asciiTheme="minorHAnsi" w:hAnsiTheme="minorHAnsi" w:cstheme="minorHAnsi"/>
          <w:color w:val="000000" w:themeColor="text1"/>
          <w:sz w:val="20"/>
          <w:szCs w:val="20"/>
        </w:rPr>
        <w:t xml:space="preserve"> publicly listed in 2004, (BSE code: 532523, NSE Id: BIOCON, ISIN Id: INE376G01013) is an innovation-led global biopharmaceuticals company committed to enhance affordable access to complex therapies for chronic conditions like diabetes, cancer and autoimmune. It has developed and commercialized novel biologics, biosimilars, and complex small molecule APIs in India and several key global markets as well as Generic Formulations in the US, Europe &amp; key emerging markets. It also has a pipeline of promising novel assets in immunotherapy under development.  </w:t>
      </w:r>
    </w:p>
    <w:p w14:paraId="455D7BAA" w14:textId="77777777" w:rsidR="00D64794" w:rsidRPr="00DB1E17" w:rsidRDefault="00D64794" w:rsidP="00D64794">
      <w:pPr>
        <w:shd w:val="clear" w:color="auto" w:fill="FFFFFF" w:themeFill="background1"/>
        <w:rPr>
          <w:rFonts w:asciiTheme="minorHAnsi" w:hAnsiTheme="minorHAnsi" w:cstheme="minorHAnsi"/>
          <w:color w:val="000000" w:themeColor="text1"/>
          <w:sz w:val="20"/>
          <w:szCs w:val="20"/>
        </w:rPr>
      </w:pPr>
      <w:r w:rsidRPr="00DB1E17">
        <w:rPr>
          <w:rFonts w:asciiTheme="minorHAnsi" w:hAnsiTheme="minorHAnsi" w:cstheme="minorHAnsi"/>
          <w:b/>
          <w:bCs/>
          <w:color w:val="000000" w:themeColor="text1"/>
          <w:sz w:val="20"/>
          <w:szCs w:val="20"/>
        </w:rPr>
        <w:t>Website:</w:t>
      </w:r>
      <w:r w:rsidRPr="00DB1E17">
        <w:rPr>
          <w:rFonts w:asciiTheme="minorHAnsi" w:hAnsiTheme="minorHAnsi" w:cstheme="minorHAnsi"/>
          <w:color w:val="000000" w:themeColor="text1"/>
          <w:sz w:val="20"/>
          <w:szCs w:val="20"/>
        </w:rPr>
        <w:t xml:space="preserve"> </w:t>
      </w:r>
      <w:hyperlink r:id="rId18" w:history="1">
        <w:r w:rsidRPr="00DB1E17">
          <w:rPr>
            <w:rStyle w:val="Hyperlink"/>
            <w:rFonts w:asciiTheme="minorHAnsi" w:hAnsiTheme="minorHAnsi" w:cstheme="minorHAnsi"/>
            <w:sz w:val="20"/>
            <w:szCs w:val="20"/>
          </w:rPr>
          <w:t>www.biocon.com</w:t>
        </w:r>
      </w:hyperlink>
      <w:r w:rsidRPr="00DB1E17">
        <w:rPr>
          <w:rFonts w:asciiTheme="minorHAnsi" w:hAnsiTheme="minorHAnsi" w:cstheme="minorHAnsi"/>
          <w:color w:val="000000" w:themeColor="text1"/>
          <w:sz w:val="20"/>
          <w:szCs w:val="20"/>
        </w:rPr>
        <w:t xml:space="preserve">; Follow-us on </w:t>
      </w:r>
      <w:r w:rsidRPr="00DB1E17">
        <w:rPr>
          <w:rStyle w:val="cf01"/>
          <w:rFonts w:asciiTheme="minorHAnsi" w:hAnsiTheme="minorHAnsi" w:cstheme="minorHAnsi"/>
          <w:b/>
          <w:bCs/>
          <w:sz w:val="20"/>
          <w:szCs w:val="20"/>
        </w:rPr>
        <w:t>X</w:t>
      </w:r>
      <w:r w:rsidRPr="00DB1E17">
        <w:rPr>
          <w:rStyle w:val="cf01"/>
          <w:rFonts w:asciiTheme="minorHAnsi" w:hAnsiTheme="minorHAnsi" w:cstheme="minorHAnsi"/>
          <w:sz w:val="20"/>
          <w:szCs w:val="20"/>
        </w:rPr>
        <w:t xml:space="preserve"> </w:t>
      </w:r>
      <w:r w:rsidRPr="00DB1E17">
        <w:rPr>
          <w:rStyle w:val="cf01"/>
          <w:rFonts w:asciiTheme="minorHAnsi" w:hAnsiTheme="minorHAnsi" w:cstheme="minorHAnsi"/>
          <w:i/>
          <w:iCs/>
          <w:sz w:val="20"/>
          <w:szCs w:val="20"/>
        </w:rPr>
        <w:t>(formerly Twitter</w:t>
      </w:r>
      <w:r w:rsidRPr="00DB1E17">
        <w:rPr>
          <w:rStyle w:val="cf01"/>
          <w:rFonts w:asciiTheme="minorHAnsi" w:hAnsiTheme="minorHAnsi" w:cstheme="minorHAnsi"/>
          <w:sz w:val="20"/>
          <w:szCs w:val="20"/>
        </w:rPr>
        <w:t>)</w:t>
      </w:r>
      <w:r w:rsidRPr="00DB1E17">
        <w:rPr>
          <w:rFonts w:asciiTheme="minorHAnsi" w:hAnsiTheme="minorHAnsi" w:cstheme="minorHAnsi"/>
          <w:color w:val="000000" w:themeColor="text1"/>
          <w:sz w:val="20"/>
          <w:szCs w:val="20"/>
        </w:rPr>
        <w:t xml:space="preserve"> </w:t>
      </w:r>
      <w:hyperlink r:id="rId19" w:history="1">
        <w:r w:rsidRPr="00DB1E17">
          <w:rPr>
            <w:rStyle w:val="Hyperlink"/>
            <w:rFonts w:asciiTheme="minorHAnsi" w:hAnsiTheme="minorHAnsi" w:cstheme="minorHAnsi"/>
            <w:sz w:val="20"/>
            <w:szCs w:val="20"/>
          </w:rPr>
          <w:t>@bioconlimited</w:t>
        </w:r>
      </w:hyperlink>
      <w:r w:rsidRPr="00DB1E17">
        <w:rPr>
          <w:rFonts w:asciiTheme="minorHAnsi" w:hAnsiTheme="minorHAnsi" w:cstheme="minorHAnsi"/>
          <w:color w:val="000000" w:themeColor="text1"/>
          <w:sz w:val="20"/>
          <w:szCs w:val="20"/>
        </w:rPr>
        <w:t xml:space="preserve"> and </w:t>
      </w:r>
      <w:r w:rsidRPr="00DB1E17">
        <w:rPr>
          <w:rFonts w:asciiTheme="minorHAnsi" w:hAnsiTheme="minorHAnsi" w:cstheme="minorHAnsi"/>
          <w:b/>
          <w:bCs/>
          <w:color w:val="000000" w:themeColor="text1"/>
          <w:sz w:val="20"/>
          <w:szCs w:val="20"/>
        </w:rPr>
        <w:t>LinkedIn</w:t>
      </w:r>
      <w:r w:rsidRPr="00DB1E17">
        <w:rPr>
          <w:rFonts w:asciiTheme="minorHAnsi" w:hAnsiTheme="minorHAnsi" w:cstheme="minorHAnsi"/>
          <w:color w:val="000000" w:themeColor="text1"/>
          <w:sz w:val="20"/>
          <w:szCs w:val="20"/>
        </w:rPr>
        <w:t xml:space="preserve">: </w:t>
      </w:r>
      <w:hyperlink r:id="rId20" w:history="1">
        <w:r w:rsidRPr="00DB1E17">
          <w:rPr>
            <w:rStyle w:val="Hyperlink"/>
            <w:rFonts w:asciiTheme="minorHAnsi" w:hAnsiTheme="minorHAnsi" w:cstheme="minorHAnsi"/>
            <w:sz w:val="20"/>
            <w:szCs w:val="20"/>
          </w:rPr>
          <w:t>Biocon</w:t>
        </w:r>
      </w:hyperlink>
      <w:r w:rsidRPr="00DB1E17">
        <w:rPr>
          <w:rFonts w:asciiTheme="minorHAnsi" w:hAnsiTheme="minorHAnsi" w:cstheme="minorHAnsi"/>
          <w:color w:val="000000" w:themeColor="text1"/>
          <w:sz w:val="20"/>
          <w:szCs w:val="20"/>
        </w:rPr>
        <w:t xml:space="preserve"> for company updates.</w:t>
      </w:r>
    </w:p>
    <w:p w14:paraId="2E5E1268" w14:textId="77777777" w:rsidR="00D64794" w:rsidRPr="00DB1E17" w:rsidRDefault="00D64794" w:rsidP="00D64794">
      <w:pPr>
        <w:jc w:val="both"/>
        <w:rPr>
          <w:rFonts w:asciiTheme="minorHAnsi" w:hAnsiTheme="minorHAnsi" w:cstheme="minorHAnsi"/>
          <w:sz w:val="20"/>
          <w:szCs w:val="20"/>
        </w:rPr>
      </w:pPr>
    </w:p>
    <w:p w14:paraId="767DAAA2" w14:textId="77777777" w:rsidR="00F5237F" w:rsidRPr="00DB1E17" w:rsidRDefault="00F5237F" w:rsidP="00F5237F">
      <w:pPr>
        <w:jc w:val="both"/>
        <w:rPr>
          <w:rFonts w:asciiTheme="minorHAnsi" w:hAnsiTheme="minorHAnsi" w:cstheme="minorHAnsi"/>
          <w:b/>
          <w:bCs/>
          <w:color w:val="333333"/>
          <w:sz w:val="20"/>
          <w:szCs w:val="20"/>
        </w:rPr>
      </w:pPr>
      <w:r w:rsidRPr="00DB1E17">
        <w:rPr>
          <w:rFonts w:asciiTheme="minorHAnsi" w:hAnsiTheme="minorHAnsi" w:cstheme="minorHAnsi"/>
          <w:b/>
          <w:bCs/>
          <w:color w:val="333333"/>
          <w:sz w:val="20"/>
          <w:szCs w:val="20"/>
        </w:rPr>
        <w:t>Forward-Looking Statements: Biocon</w:t>
      </w:r>
    </w:p>
    <w:p w14:paraId="4E07EDC8" w14:textId="77777777" w:rsidR="00F5237F" w:rsidRDefault="00F5237F" w:rsidP="00F5237F">
      <w:pPr>
        <w:jc w:val="both"/>
        <w:rPr>
          <w:rFonts w:asciiTheme="minorHAnsi" w:hAnsiTheme="minorHAnsi" w:cstheme="minorHAnsi"/>
          <w:i/>
          <w:iCs/>
          <w:color w:val="333333"/>
          <w:sz w:val="20"/>
          <w:szCs w:val="20"/>
        </w:rPr>
      </w:pPr>
      <w:r w:rsidRPr="00DB1E17">
        <w:rPr>
          <w:rFonts w:asciiTheme="minorHAnsi" w:hAnsiTheme="minorHAnsi" w:cstheme="minorHAnsi"/>
          <w:i/>
          <w:iCs/>
          <w:color w:val="333333"/>
          <w:sz w:val="20"/>
          <w:szCs w:val="20"/>
        </w:rPr>
        <w:t xml:space="preserve">This press release may include statements of future expectations and other forward-looking statements based on management’s current expectations and beliefs concerning future developments and their potential effects upon Biocon and its subsidiaries/ associates. These forward-looking statements involve known or unknown risks and uncertainties that could cause actual results, performance or events to differ materially from those expressed or implied in such statements. Important factors that could cause actual results to differ materially from our expectations include, amongst other: general economic and business conditions in India and overseas, our ability to successfully implement our strategy, our research and development efforts, our growth and expansion plans and technological changes, changes in the value of the Rupee and other currency changes, changes in the Indian and international interest rates, change in laws and regulations that apply to the Indian and global biotechnology and pharmaceuticals industries, increasing competition in and the conditions of the Indian and global biotechnology and pharmaceuticals industries, changes in political conditions in India and changes in the foreign exchange control regulations in India. Neither Biocon, nor our Directors, or any of our subsidiaries/associates assume any obligation to update any </w:t>
      </w:r>
      <w:proofErr w:type="gramStart"/>
      <w:r w:rsidRPr="00DB1E17">
        <w:rPr>
          <w:rFonts w:asciiTheme="minorHAnsi" w:hAnsiTheme="minorHAnsi" w:cstheme="minorHAnsi"/>
          <w:i/>
          <w:iCs/>
          <w:color w:val="333333"/>
          <w:sz w:val="20"/>
          <w:szCs w:val="20"/>
        </w:rPr>
        <w:t>particular forward-looking</w:t>
      </w:r>
      <w:proofErr w:type="gramEnd"/>
      <w:r w:rsidRPr="00DB1E17">
        <w:rPr>
          <w:rFonts w:asciiTheme="minorHAnsi" w:hAnsiTheme="minorHAnsi" w:cstheme="minorHAnsi"/>
          <w:i/>
          <w:iCs/>
          <w:color w:val="333333"/>
          <w:sz w:val="20"/>
          <w:szCs w:val="20"/>
        </w:rPr>
        <w:t xml:space="preserve"> statement contained in this release.</w:t>
      </w:r>
    </w:p>
    <w:p w14:paraId="6840768C" w14:textId="77777777" w:rsidR="0071161B" w:rsidRDefault="0071161B" w:rsidP="00F5237F">
      <w:pPr>
        <w:jc w:val="both"/>
        <w:rPr>
          <w:rFonts w:asciiTheme="minorHAnsi" w:hAnsiTheme="minorHAnsi" w:cstheme="minorHAnsi"/>
          <w:i/>
          <w:iCs/>
          <w:color w:val="333333"/>
          <w:sz w:val="20"/>
          <w:szCs w:val="20"/>
        </w:rPr>
      </w:pPr>
    </w:p>
    <w:p w14:paraId="79509B6D" w14:textId="77777777" w:rsidR="0071161B" w:rsidRDefault="0071161B" w:rsidP="00F5237F">
      <w:pPr>
        <w:jc w:val="both"/>
        <w:rPr>
          <w:rFonts w:asciiTheme="minorHAnsi" w:hAnsiTheme="minorHAnsi" w:cstheme="minorHAnsi"/>
          <w:i/>
          <w:iCs/>
          <w:color w:val="333333"/>
          <w:sz w:val="20"/>
          <w:szCs w:val="20"/>
        </w:rPr>
      </w:pPr>
    </w:p>
    <w:p w14:paraId="37103F76" w14:textId="77777777" w:rsidR="0071161B" w:rsidRDefault="0071161B" w:rsidP="00F5237F">
      <w:pPr>
        <w:jc w:val="both"/>
        <w:rPr>
          <w:rFonts w:asciiTheme="minorHAnsi" w:hAnsiTheme="minorHAnsi" w:cstheme="minorHAnsi"/>
          <w:i/>
          <w:iCs/>
          <w:color w:val="333333"/>
          <w:sz w:val="20"/>
          <w:szCs w:val="20"/>
        </w:rPr>
      </w:pPr>
    </w:p>
    <w:p w14:paraId="34C89D90" w14:textId="77777777" w:rsidR="0071161B" w:rsidRDefault="0071161B" w:rsidP="00F5237F">
      <w:pPr>
        <w:jc w:val="both"/>
        <w:rPr>
          <w:rFonts w:asciiTheme="minorHAnsi" w:hAnsiTheme="minorHAnsi" w:cstheme="minorHAnsi"/>
          <w:i/>
          <w:iCs/>
          <w:color w:val="333333"/>
          <w:sz w:val="20"/>
          <w:szCs w:val="20"/>
        </w:rPr>
      </w:pPr>
    </w:p>
    <w:p w14:paraId="4055675F" w14:textId="77777777" w:rsidR="0071161B" w:rsidRPr="00DB1E17" w:rsidRDefault="0071161B" w:rsidP="00F5237F">
      <w:pPr>
        <w:jc w:val="both"/>
        <w:rPr>
          <w:rFonts w:asciiTheme="minorHAnsi" w:hAnsiTheme="minorHAnsi" w:cstheme="minorHAnsi"/>
          <w:i/>
          <w:iCs/>
          <w:color w:val="333333"/>
          <w:sz w:val="20"/>
          <w:szCs w:val="20"/>
        </w:rPr>
      </w:pPr>
    </w:p>
    <w:p w14:paraId="35A35760" w14:textId="77777777" w:rsidR="00BD0B8B" w:rsidRPr="00DB1E17" w:rsidRDefault="00BD0B8B" w:rsidP="00BD0B8B">
      <w:pPr>
        <w:jc w:val="both"/>
        <w:rPr>
          <w:rFonts w:asciiTheme="minorHAnsi" w:hAnsiTheme="minorHAnsi" w:cstheme="minorHAnsi"/>
          <w:sz w:val="20"/>
          <w:szCs w:val="20"/>
        </w:rPr>
      </w:pPr>
    </w:p>
    <w:tbl>
      <w:tblPr>
        <w:tblW w:w="0" w:type="auto"/>
        <w:tblCellMar>
          <w:left w:w="0" w:type="dxa"/>
          <w:right w:w="0" w:type="dxa"/>
        </w:tblCellMar>
        <w:tblLook w:val="04A0" w:firstRow="1" w:lastRow="0" w:firstColumn="1" w:lastColumn="0" w:noHBand="0" w:noVBand="1"/>
      </w:tblPr>
      <w:tblGrid>
        <w:gridCol w:w="4692"/>
        <w:gridCol w:w="4693"/>
      </w:tblGrid>
      <w:tr w:rsidR="00BD0B8B" w:rsidRPr="00410F55" w14:paraId="195E9C76" w14:textId="77777777" w:rsidTr="00072BBD">
        <w:trPr>
          <w:trHeight w:val="280"/>
        </w:trPr>
        <w:tc>
          <w:tcPr>
            <w:tcW w:w="938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5BC342" w14:textId="77777777" w:rsidR="00BD0B8B" w:rsidRPr="00410F55" w:rsidRDefault="00BD0B8B" w:rsidP="00072BBD">
            <w:pPr>
              <w:jc w:val="both"/>
              <w:rPr>
                <w:rFonts w:asciiTheme="minorHAnsi" w:hAnsiTheme="minorHAnsi" w:cstheme="minorHAnsi"/>
                <w:i/>
                <w:iCs/>
              </w:rPr>
            </w:pPr>
            <w:r w:rsidRPr="00410F55">
              <w:rPr>
                <w:rFonts w:asciiTheme="minorHAnsi" w:hAnsiTheme="minorHAnsi" w:cstheme="minorHAnsi"/>
                <w:b/>
                <w:bCs/>
              </w:rPr>
              <w:t>For More Information: Biocon Biologics</w:t>
            </w:r>
          </w:p>
        </w:tc>
      </w:tr>
      <w:tr w:rsidR="00BD0B8B" w:rsidRPr="00410F55" w14:paraId="7DF4605C" w14:textId="77777777" w:rsidTr="00072BBD">
        <w:trPr>
          <w:trHeight w:val="239"/>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51A68" w14:textId="77777777" w:rsidR="00BD0B8B" w:rsidRPr="00410F55" w:rsidRDefault="00BD0B8B" w:rsidP="00072BBD">
            <w:pPr>
              <w:jc w:val="both"/>
              <w:rPr>
                <w:rFonts w:asciiTheme="minorHAnsi" w:hAnsiTheme="minorHAnsi" w:cstheme="minorHAnsi"/>
                <w:b/>
                <w:bCs/>
              </w:rPr>
            </w:pPr>
            <w:r w:rsidRPr="00410F55">
              <w:rPr>
                <w:rFonts w:asciiTheme="minorHAnsi" w:hAnsiTheme="minorHAnsi" w:cstheme="minorHAnsi"/>
                <w:b/>
                <w:bCs/>
                <w:lang w:val="fi-FI"/>
              </w:rPr>
              <w:t xml:space="preserve">MEDIA </w:t>
            </w:r>
          </w:p>
        </w:tc>
        <w:tc>
          <w:tcPr>
            <w:tcW w:w="4693" w:type="dxa"/>
            <w:tcBorders>
              <w:top w:val="nil"/>
              <w:left w:val="nil"/>
              <w:bottom w:val="single" w:sz="8" w:space="0" w:color="auto"/>
              <w:right w:val="single" w:sz="8" w:space="0" w:color="auto"/>
            </w:tcBorders>
            <w:tcMar>
              <w:top w:w="0" w:type="dxa"/>
              <w:left w:w="108" w:type="dxa"/>
              <w:bottom w:w="0" w:type="dxa"/>
              <w:right w:w="108" w:type="dxa"/>
            </w:tcMar>
            <w:hideMark/>
          </w:tcPr>
          <w:p w14:paraId="21F2E2D2" w14:textId="77777777" w:rsidR="00BD0B8B" w:rsidRPr="00410F55" w:rsidRDefault="00BD0B8B" w:rsidP="00072BBD">
            <w:pPr>
              <w:jc w:val="both"/>
              <w:rPr>
                <w:rFonts w:asciiTheme="minorHAnsi" w:hAnsiTheme="minorHAnsi" w:cstheme="minorHAnsi"/>
                <w:i/>
                <w:iCs/>
              </w:rPr>
            </w:pPr>
            <w:r w:rsidRPr="00410F55">
              <w:rPr>
                <w:rFonts w:asciiTheme="minorHAnsi" w:hAnsiTheme="minorHAnsi" w:cstheme="minorHAnsi"/>
                <w:b/>
                <w:bCs/>
              </w:rPr>
              <w:t xml:space="preserve">INVESTORS </w:t>
            </w:r>
          </w:p>
        </w:tc>
      </w:tr>
      <w:tr w:rsidR="00BD0B8B" w:rsidRPr="00410F55" w14:paraId="08CD8023" w14:textId="77777777" w:rsidTr="00072BBD">
        <w:trPr>
          <w:trHeight w:val="1216"/>
        </w:trPr>
        <w:tc>
          <w:tcPr>
            <w:tcW w:w="469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21B3F7" w14:textId="77777777" w:rsidR="00BD0B8B" w:rsidRPr="00410F55" w:rsidRDefault="00BD0B8B" w:rsidP="00072BBD">
            <w:pPr>
              <w:pStyle w:val="NoSpacing"/>
              <w:rPr>
                <w:rFonts w:cstheme="minorHAnsi"/>
                <w:b/>
                <w:bCs/>
                <w:sz w:val="24"/>
                <w:szCs w:val="24"/>
              </w:rPr>
            </w:pPr>
            <w:r w:rsidRPr="00410F55">
              <w:rPr>
                <w:rFonts w:cstheme="minorHAnsi"/>
                <w:b/>
                <w:bCs/>
                <w:sz w:val="24"/>
                <w:szCs w:val="24"/>
              </w:rPr>
              <w:lastRenderedPageBreak/>
              <w:t>Rumman Ahmed</w:t>
            </w:r>
          </w:p>
          <w:p w14:paraId="5F01DF06" w14:textId="77777777" w:rsidR="00BD0B8B" w:rsidRPr="00410F55" w:rsidRDefault="00BD0B8B" w:rsidP="00072BBD">
            <w:pPr>
              <w:pStyle w:val="NoSpacing"/>
              <w:rPr>
                <w:rFonts w:cstheme="minorHAnsi"/>
                <w:sz w:val="24"/>
                <w:szCs w:val="24"/>
              </w:rPr>
            </w:pPr>
            <w:r w:rsidRPr="00410F55">
              <w:rPr>
                <w:rFonts w:cstheme="minorHAnsi"/>
                <w:sz w:val="24"/>
                <w:szCs w:val="24"/>
              </w:rPr>
              <w:t>Associate Director – Biocon Biologics</w:t>
            </w:r>
          </w:p>
          <w:p w14:paraId="65D5D047" w14:textId="77777777" w:rsidR="00BD0B8B" w:rsidRPr="00410F55" w:rsidRDefault="00BD0B8B" w:rsidP="00072BBD">
            <w:pPr>
              <w:pStyle w:val="NoSpacing"/>
              <w:rPr>
                <w:rFonts w:cstheme="minorHAnsi"/>
                <w:b/>
                <w:bCs/>
                <w:sz w:val="24"/>
                <w:szCs w:val="24"/>
              </w:rPr>
            </w:pPr>
            <w:r w:rsidRPr="00410F55">
              <w:rPr>
                <w:rFonts w:cstheme="minorHAnsi"/>
                <w:sz w:val="24"/>
                <w:szCs w:val="24"/>
              </w:rPr>
              <w:t>+91-9845104173</w:t>
            </w:r>
          </w:p>
          <w:p w14:paraId="56A43199" w14:textId="77777777" w:rsidR="00BD0B8B" w:rsidRPr="00410F55" w:rsidRDefault="00BD0B8B" w:rsidP="00072BBD">
            <w:pPr>
              <w:pStyle w:val="NoSpacing"/>
              <w:rPr>
                <w:rFonts w:cstheme="minorHAnsi"/>
                <w:sz w:val="24"/>
                <w:szCs w:val="24"/>
              </w:rPr>
            </w:pPr>
            <w:hyperlink r:id="rId21" w:history="1">
              <w:r w:rsidRPr="00410F55">
                <w:rPr>
                  <w:rStyle w:val="Hyperlink"/>
                  <w:rFonts w:cstheme="minorHAnsi"/>
                  <w:sz w:val="24"/>
                  <w:szCs w:val="24"/>
                </w:rPr>
                <w:t>rumman.ahmed@biocon.com</w:t>
              </w:r>
            </w:hyperlink>
          </w:p>
          <w:p w14:paraId="740F9372" w14:textId="77777777" w:rsidR="00BD0B8B" w:rsidRPr="00410F55" w:rsidRDefault="00BD0B8B" w:rsidP="00072BBD">
            <w:pPr>
              <w:pStyle w:val="NoSpacing"/>
              <w:rPr>
                <w:rFonts w:cstheme="minorHAnsi"/>
                <w:b/>
                <w:bCs/>
                <w:sz w:val="24"/>
                <w:szCs w:val="24"/>
              </w:rPr>
            </w:pPr>
          </w:p>
          <w:p w14:paraId="14986697" w14:textId="77777777" w:rsidR="00BD0B8B" w:rsidRPr="00410F55" w:rsidRDefault="00BD0B8B" w:rsidP="00072BBD">
            <w:pPr>
              <w:pStyle w:val="NoSpacing"/>
              <w:rPr>
                <w:rFonts w:cstheme="minorHAnsi"/>
                <w:b/>
                <w:bCs/>
                <w:sz w:val="24"/>
                <w:szCs w:val="24"/>
              </w:rPr>
            </w:pPr>
            <w:r w:rsidRPr="00410F55">
              <w:rPr>
                <w:rFonts w:cstheme="minorHAnsi"/>
                <w:b/>
                <w:bCs/>
                <w:sz w:val="24"/>
                <w:szCs w:val="24"/>
              </w:rPr>
              <w:t>Lance Longwell</w:t>
            </w:r>
          </w:p>
          <w:p w14:paraId="35A4712B" w14:textId="77777777" w:rsidR="00BD0B8B" w:rsidRPr="00410F55" w:rsidRDefault="00BD0B8B" w:rsidP="00072BBD">
            <w:pPr>
              <w:pStyle w:val="NoSpacing"/>
              <w:rPr>
                <w:rFonts w:cstheme="minorHAnsi"/>
                <w:sz w:val="24"/>
                <w:szCs w:val="24"/>
              </w:rPr>
            </w:pPr>
            <w:r w:rsidRPr="00410F55">
              <w:rPr>
                <w:rFonts w:cstheme="minorHAnsi"/>
                <w:sz w:val="24"/>
                <w:szCs w:val="24"/>
              </w:rPr>
              <w:t xml:space="preserve">Public Relations Lead – Advanced Markets </w:t>
            </w:r>
          </w:p>
          <w:p w14:paraId="00964EF3" w14:textId="77777777" w:rsidR="00BD0B8B" w:rsidRPr="00410F55" w:rsidRDefault="00BD0B8B" w:rsidP="00072BBD">
            <w:pPr>
              <w:pStyle w:val="NoSpacing"/>
              <w:rPr>
                <w:rFonts w:cstheme="minorHAnsi"/>
                <w:sz w:val="24"/>
                <w:szCs w:val="24"/>
              </w:rPr>
            </w:pPr>
            <w:r w:rsidRPr="00410F55">
              <w:rPr>
                <w:rFonts w:cstheme="minorHAnsi"/>
                <w:sz w:val="24"/>
                <w:szCs w:val="24"/>
              </w:rPr>
              <w:t>+1 857 270 4391</w:t>
            </w:r>
          </w:p>
          <w:p w14:paraId="215F68F7" w14:textId="77777777" w:rsidR="00BD0B8B" w:rsidRPr="00410F55" w:rsidRDefault="00BD0B8B" w:rsidP="00072BBD">
            <w:pPr>
              <w:pStyle w:val="NoSpacing"/>
              <w:rPr>
                <w:rFonts w:cstheme="minorHAnsi"/>
                <w:i/>
                <w:iCs/>
                <w:sz w:val="24"/>
                <w:szCs w:val="24"/>
              </w:rPr>
            </w:pPr>
            <w:hyperlink r:id="rId22" w:history="1">
              <w:r w:rsidRPr="00410F55">
                <w:rPr>
                  <w:rStyle w:val="Hyperlink"/>
                  <w:rFonts w:cstheme="minorHAnsi"/>
                  <w:sz w:val="24"/>
                  <w:szCs w:val="24"/>
                </w:rPr>
                <w:t>lance.longwell@biocon.com</w:t>
              </w:r>
            </w:hyperlink>
          </w:p>
        </w:tc>
        <w:tc>
          <w:tcPr>
            <w:tcW w:w="4693" w:type="dxa"/>
            <w:tcBorders>
              <w:top w:val="nil"/>
              <w:left w:val="nil"/>
              <w:bottom w:val="single" w:sz="8" w:space="0" w:color="auto"/>
              <w:right w:val="single" w:sz="8" w:space="0" w:color="auto"/>
            </w:tcBorders>
            <w:tcMar>
              <w:top w:w="0" w:type="dxa"/>
              <w:left w:w="108" w:type="dxa"/>
              <w:bottom w:w="0" w:type="dxa"/>
              <w:right w:w="108" w:type="dxa"/>
            </w:tcMar>
          </w:tcPr>
          <w:p w14:paraId="644A9768" w14:textId="77777777" w:rsidR="00BD0B8B" w:rsidRPr="00410F55" w:rsidRDefault="00BD0B8B" w:rsidP="00072BBD">
            <w:pPr>
              <w:pStyle w:val="NoSpacing"/>
              <w:rPr>
                <w:rFonts w:cstheme="minorHAnsi"/>
                <w:b/>
                <w:bCs/>
                <w:sz w:val="24"/>
                <w:szCs w:val="24"/>
              </w:rPr>
            </w:pPr>
            <w:r w:rsidRPr="00410F55">
              <w:rPr>
                <w:rFonts w:cstheme="minorHAnsi"/>
                <w:b/>
                <w:bCs/>
                <w:sz w:val="24"/>
                <w:szCs w:val="24"/>
              </w:rPr>
              <w:t>Saurabh Paliwal</w:t>
            </w:r>
          </w:p>
          <w:p w14:paraId="1C9F67A8" w14:textId="77777777" w:rsidR="00BD0B8B" w:rsidRPr="00410F55" w:rsidRDefault="00BD0B8B" w:rsidP="00072BBD">
            <w:pPr>
              <w:pStyle w:val="NoSpacing"/>
              <w:rPr>
                <w:rFonts w:cstheme="minorHAnsi"/>
                <w:sz w:val="24"/>
                <w:szCs w:val="24"/>
              </w:rPr>
            </w:pPr>
            <w:r w:rsidRPr="00410F55">
              <w:rPr>
                <w:rFonts w:cstheme="minorHAnsi"/>
                <w:sz w:val="24"/>
                <w:szCs w:val="24"/>
              </w:rPr>
              <w:t>Head - Investor Relations</w:t>
            </w:r>
          </w:p>
          <w:p w14:paraId="2A58655C" w14:textId="77777777" w:rsidR="00BD0B8B" w:rsidRPr="00410F55" w:rsidRDefault="00BD0B8B" w:rsidP="00072BBD">
            <w:pPr>
              <w:pStyle w:val="NoSpacing"/>
              <w:rPr>
                <w:rFonts w:cstheme="minorHAnsi"/>
                <w:sz w:val="24"/>
                <w:szCs w:val="24"/>
              </w:rPr>
            </w:pPr>
            <w:r w:rsidRPr="00410F55">
              <w:rPr>
                <w:rFonts w:cstheme="minorHAnsi"/>
                <w:sz w:val="24"/>
                <w:szCs w:val="24"/>
              </w:rPr>
              <w:t>Biocon</w:t>
            </w:r>
          </w:p>
          <w:p w14:paraId="1C353F49" w14:textId="77777777" w:rsidR="00BD0B8B" w:rsidRPr="00410F55" w:rsidRDefault="00BD0B8B" w:rsidP="00072BBD">
            <w:pPr>
              <w:pStyle w:val="NoSpacing"/>
              <w:rPr>
                <w:rFonts w:cstheme="minorHAnsi"/>
                <w:sz w:val="24"/>
                <w:szCs w:val="24"/>
              </w:rPr>
            </w:pPr>
          </w:p>
          <w:p w14:paraId="41C98439" w14:textId="77777777" w:rsidR="00BD0B8B" w:rsidRPr="00410F55" w:rsidRDefault="00BD0B8B" w:rsidP="00072BBD">
            <w:pPr>
              <w:pStyle w:val="NoSpacing"/>
              <w:rPr>
                <w:rFonts w:cstheme="minorHAnsi"/>
                <w:color w:val="000000"/>
                <w:sz w:val="24"/>
                <w:szCs w:val="24"/>
                <w:bdr w:val="none" w:sz="0" w:space="0" w:color="auto" w:frame="1"/>
              </w:rPr>
            </w:pPr>
            <w:r w:rsidRPr="00410F55">
              <w:rPr>
                <w:rFonts w:cstheme="minorHAnsi"/>
                <w:color w:val="000000"/>
                <w:sz w:val="24"/>
                <w:szCs w:val="24"/>
                <w:bdr w:val="none" w:sz="0" w:space="0" w:color="auto" w:frame="1"/>
              </w:rPr>
              <w:t>+91 95383 80801</w:t>
            </w:r>
          </w:p>
          <w:p w14:paraId="6AE25B17" w14:textId="77777777" w:rsidR="00BD0B8B" w:rsidRPr="00410F55" w:rsidRDefault="00BD0B8B" w:rsidP="00072BBD">
            <w:pPr>
              <w:jc w:val="both"/>
              <w:rPr>
                <w:rFonts w:asciiTheme="minorHAnsi" w:hAnsiTheme="minorHAnsi" w:cstheme="minorHAnsi"/>
              </w:rPr>
            </w:pPr>
            <w:hyperlink r:id="rId23" w:history="1">
              <w:r w:rsidRPr="00410F55">
                <w:rPr>
                  <w:rStyle w:val="Hyperlink"/>
                  <w:rFonts w:asciiTheme="minorHAnsi" w:hAnsiTheme="minorHAnsi" w:cstheme="minorHAnsi"/>
                </w:rPr>
                <w:t>saurabh.paliwal@biocon.com</w:t>
              </w:r>
            </w:hyperlink>
          </w:p>
        </w:tc>
      </w:tr>
    </w:tbl>
    <w:p w14:paraId="056BA09C" w14:textId="77777777" w:rsidR="003C59A4" w:rsidRPr="00410F55" w:rsidRDefault="003C59A4" w:rsidP="00DB1E17">
      <w:pPr>
        <w:jc w:val="both"/>
        <w:rPr>
          <w:rFonts w:asciiTheme="minorHAnsi" w:hAnsiTheme="minorHAnsi" w:cstheme="minorHAnsi"/>
        </w:rPr>
      </w:pPr>
    </w:p>
    <w:sectPr w:rsidR="003C59A4" w:rsidRPr="00410F55" w:rsidSect="00E450ED">
      <w:headerReference w:type="even" r:id="rId24"/>
      <w:headerReference w:type="default" r:id="rId25"/>
      <w:footerReference w:type="even" r:id="rId26"/>
      <w:footerReference w:type="default" r:id="rId27"/>
      <w:headerReference w:type="first" r:id="rId28"/>
      <w:footerReference w:type="first" r:id="rId29"/>
      <w:pgSz w:w="11906" w:h="16838"/>
      <w:pgMar w:top="1440" w:right="1080" w:bottom="1440" w:left="1080" w:header="708" w:footer="708" w:gutter="0"/>
      <w:pgBorders w:offsetFrom="page">
        <w:top w:val="double" w:sz="4" w:space="24" w:color="4472C4" w:themeColor="accent1"/>
        <w:left w:val="double" w:sz="4" w:space="24" w:color="4472C4" w:themeColor="accent1"/>
        <w:bottom w:val="double" w:sz="4" w:space="24" w:color="4472C4" w:themeColor="accent1"/>
        <w:right w:val="double" w:sz="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D585" w14:textId="77777777" w:rsidR="004C712E" w:rsidRDefault="004C712E">
      <w:r>
        <w:separator/>
      </w:r>
    </w:p>
  </w:endnote>
  <w:endnote w:type="continuationSeparator" w:id="0">
    <w:p w14:paraId="73E1EE46" w14:textId="77777777" w:rsidR="004C712E" w:rsidRDefault="004C712E">
      <w:r>
        <w:continuationSeparator/>
      </w:r>
    </w:p>
  </w:endnote>
  <w:endnote w:type="continuationNotice" w:id="1">
    <w:p w14:paraId="48589690" w14:textId="77777777" w:rsidR="004C712E" w:rsidRDefault="004C7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AB11" w14:textId="77777777" w:rsidR="00634E6C" w:rsidRDefault="00634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FD" w14:textId="77777777" w:rsidR="00320B13" w:rsidRDefault="00540381">
    <w:pPr>
      <w:pStyle w:val="Footer"/>
      <w:jc w:val="center"/>
    </w:pPr>
    <w:sdt>
      <w:sdtPr>
        <w:id w:val="1006165658"/>
        <w:docPartObj>
          <w:docPartGallery w:val="Page Numbers (Bottom of Page)"/>
          <w:docPartUnique/>
        </w:docPartObj>
      </w:sdtPr>
      <w:sdtEndPr>
        <w:rPr>
          <w:noProof/>
        </w:rPr>
      </w:sdtEndPr>
      <w:sdtContent>
        <w:r w:rsidR="00801087">
          <w:fldChar w:fldCharType="begin"/>
        </w:r>
        <w:r w:rsidR="00801087">
          <w:instrText xml:space="preserve"> PAGE   \* MERGEFORMAT </w:instrText>
        </w:r>
        <w:r w:rsidR="00801087">
          <w:fldChar w:fldCharType="separate"/>
        </w:r>
        <w:r w:rsidR="00801087">
          <w:rPr>
            <w:noProof/>
          </w:rPr>
          <w:t>8</w:t>
        </w:r>
        <w:r w:rsidR="00801087">
          <w:rPr>
            <w:noProof/>
          </w:rPr>
          <w:fldChar w:fldCharType="end"/>
        </w:r>
      </w:sdtContent>
    </w:sdt>
  </w:p>
  <w:p w14:paraId="662EF3DA" w14:textId="77777777" w:rsidR="00320B13" w:rsidRDefault="00320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2C70" w14:textId="77777777" w:rsidR="00634E6C" w:rsidRDefault="00634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FA3D" w14:textId="77777777" w:rsidR="004C712E" w:rsidRDefault="004C712E">
      <w:r>
        <w:separator/>
      </w:r>
    </w:p>
  </w:footnote>
  <w:footnote w:type="continuationSeparator" w:id="0">
    <w:p w14:paraId="72E57554" w14:textId="77777777" w:rsidR="004C712E" w:rsidRDefault="004C712E">
      <w:r>
        <w:continuationSeparator/>
      </w:r>
    </w:p>
  </w:footnote>
  <w:footnote w:type="continuationNotice" w:id="1">
    <w:p w14:paraId="24596C99" w14:textId="77777777" w:rsidR="004C712E" w:rsidRDefault="004C7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68DC" w14:textId="77777777" w:rsidR="00634E6C" w:rsidRDefault="0063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CC58" w14:textId="60E141E2" w:rsidR="00320B13" w:rsidRDefault="00801087" w:rsidP="00155F79">
    <w:pPr>
      <w:pStyle w:val="Header"/>
    </w:pPr>
    <w:r>
      <w:rPr>
        <w:noProof/>
        <w:lang w:eastAsia="en-IN"/>
      </w:rPr>
      <w:drawing>
        <wp:inline distT="0" distB="0" distL="0" distR="0" wp14:anchorId="6F65323F" wp14:editId="18459373">
          <wp:extent cx="995991" cy="373380"/>
          <wp:effectExtent l="0" t="0" r="0" b="762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srcRect/>
                  <a:stretch/>
                </pic:blipFill>
                <pic:spPr>
                  <a:xfrm>
                    <a:off x="0" y="0"/>
                    <a:ext cx="1020812" cy="382685"/>
                  </a:xfrm>
                  <a:prstGeom prst="rect">
                    <a:avLst/>
                  </a:prstGeom>
                  <a:ln>
                    <a:noFill/>
                  </a:ln>
                </pic:spPr>
              </pic:pic>
            </a:graphicData>
          </a:graphic>
        </wp:inline>
      </w:drawing>
    </w:r>
    <w:r>
      <w:t xml:space="preserve">          </w:t>
    </w:r>
    <w:r>
      <w:tab/>
    </w:r>
    <w:r>
      <w:tab/>
      <w:t xml:space="preserve">                      </w:t>
    </w:r>
    <w:r>
      <w:rPr>
        <w:rFonts w:cstheme="minorHAnsi"/>
        <w:noProof/>
        <w:lang w:eastAsia="en-IN"/>
      </w:rPr>
      <w:t xml:space="preserve">         </w:t>
    </w:r>
    <w:r w:rsidRPr="004A7BF0">
      <w:rPr>
        <w:rFonts w:cstheme="minorHAnsi"/>
        <w:noProof/>
        <w:lang w:eastAsia="en-IN"/>
      </w:rPr>
      <w:drawing>
        <wp:inline distT="0" distB="0" distL="0" distR="0" wp14:anchorId="4036604B" wp14:editId="0118FBF6">
          <wp:extent cx="1536700" cy="333774"/>
          <wp:effectExtent l="0" t="0" r="6350"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con Biologics | LinkedIn"/>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925753" cy="418277"/>
                  </a:xfrm>
                  <a:prstGeom prst="rect">
                    <a:avLst/>
                  </a:prstGeom>
                  <a:noFill/>
                  <a:ln>
                    <a:noFill/>
                  </a:ln>
                  <a:extLst>
                    <a:ext uri="{53640926-AAD7-44D8-BBD7-CCE9431645EC}">
                      <a14:shadowObscured xmlns:a14="http://schemas.microsoft.com/office/drawing/2010/main"/>
                    </a:ext>
                  </a:extLst>
                </pic:spPr>
              </pic:pic>
            </a:graphicData>
          </a:graphic>
        </wp:inline>
      </w:drawing>
    </w:r>
  </w:p>
  <w:p w14:paraId="445B2236" w14:textId="77777777" w:rsidR="00320B13" w:rsidRDefault="00320B13">
    <w:pPr>
      <w:pStyle w:val="Header"/>
    </w:pPr>
  </w:p>
  <w:p w14:paraId="773C4E13" w14:textId="77777777" w:rsidR="00320B13" w:rsidRDefault="00320B13" w:rsidP="00155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28D0" w14:textId="77777777" w:rsidR="00634E6C" w:rsidRDefault="0063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6BAE"/>
    <w:multiLevelType w:val="multilevel"/>
    <w:tmpl w:val="864A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EB16C"/>
    <w:multiLevelType w:val="hybridMultilevel"/>
    <w:tmpl w:val="FFFFFFFF"/>
    <w:lvl w:ilvl="0" w:tplc="D018C45C">
      <w:start w:val="1"/>
      <w:numFmt w:val="bullet"/>
      <w:lvlText w:val="·"/>
      <w:lvlJc w:val="left"/>
      <w:pPr>
        <w:ind w:left="720" w:hanging="360"/>
      </w:pPr>
      <w:rPr>
        <w:rFonts w:ascii="Symbol" w:hAnsi="Symbol" w:hint="default"/>
      </w:rPr>
    </w:lvl>
    <w:lvl w:ilvl="1" w:tplc="8F9605D8">
      <w:start w:val="1"/>
      <w:numFmt w:val="bullet"/>
      <w:lvlText w:val="o"/>
      <w:lvlJc w:val="left"/>
      <w:pPr>
        <w:ind w:left="1440" w:hanging="360"/>
      </w:pPr>
      <w:rPr>
        <w:rFonts w:ascii="Courier New" w:hAnsi="Courier New" w:hint="default"/>
      </w:rPr>
    </w:lvl>
    <w:lvl w:ilvl="2" w:tplc="842AC67A">
      <w:start w:val="1"/>
      <w:numFmt w:val="bullet"/>
      <w:lvlText w:val=""/>
      <w:lvlJc w:val="left"/>
      <w:pPr>
        <w:ind w:left="2160" w:hanging="360"/>
      </w:pPr>
      <w:rPr>
        <w:rFonts w:ascii="Wingdings" w:hAnsi="Wingdings" w:hint="default"/>
      </w:rPr>
    </w:lvl>
    <w:lvl w:ilvl="3" w:tplc="EC2C15AC">
      <w:start w:val="1"/>
      <w:numFmt w:val="bullet"/>
      <w:lvlText w:val=""/>
      <w:lvlJc w:val="left"/>
      <w:pPr>
        <w:ind w:left="2880" w:hanging="360"/>
      </w:pPr>
      <w:rPr>
        <w:rFonts w:ascii="Symbol" w:hAnsi="Symbol" w:hint="default"/>
      </w:rPr>
    </w:lvl>
    <w:lvl w:ilvl="4" w:tplc="B090F050">
      <w:start w:val="1"/>
      <w:numFmt w:val="bullet"/>
      <w:lvlText w:val="o"/>
      <w:lvlJc w:val="left"/>
      <w:pPr>
        <w:ind w:left="3600" w:hanging="360"/>
      </w:pPr>
      <w:rPr>
        <w:rFonts w:ascii="Courier New" w:hAnsi="Courier New" w:hint="default"/>
      </w:rPr>
    </w:lvl>
    <w:lvl w:ilvl="5" w:tplc="ACA24154">
      <w:start w:val="1"/>
      <w:numFmt w:val="bullet"/>
      <w:lvlText w:val=""/>
      <w:lvlJc w:val="left"/>
      <w:pPr>
        <w:ind w:left="4320" w:hanging="360"/>
      </w:pPr>
      <w:rPr>
        <w:rFonts w:ascii="Wingdings" w:hAnsi="Wingdings" w:hint="default"/>
      </w:rPr>
    </w:lvl>
    <w:lvl w:ilvl="6" w:tplc="8E0E5250">
      <w:start w:val="1"/>
      <w:numFmt w:val="bullet"/>
      <w:lvlText w:val=""/>
      <w:lvlJc w:val="left"/>
      <w:pPr>
        <w:ind w:left="5040" w:hanging="360"/>
      </w:pPr>
      <w:rPr>
        <w:rFonts w:ascii="Symbol" w:hAnsi="Symbol" w:hint="default"/>
      </w:rPr>
    </w:lvl>
    <w:lvl w:ilvl="7" w:tplc="492CAF2C">
      <w:start w:val="1"/>
      <w:numFmt w:val="bullet"/>
      <w:lvlText w:val="o"/>
      <w:lvlJc w:val="left"/>
      <w:pPr>
        <w:ind w:left="5760" w:hanging="360"/>
      </w:pPr>
      <w:rPr>
        <w:rFonts w:ascii="Courier New" w:hAnsi="Courier New" w:hint="default"/>
      </w:rPr>
    </w:lvl>
    <w:lvl w:ilvl="8" w:tplc="AA90F80C">
      <w:start w:val="1"/>
      <w:numFmt w:val="bullet"/>
      <w:lvlText w:val=""/>
      <w:lvlJc w:val="left"/>
      <w:pPr>
        <w:ind w:left="6480" w:hanging="360"/>
      </w:pPr>
      <w:rPr>
        <w:rFonts w:ascii="Wingdings" w:hAnsi="Wingdings" w:hint="default"/>
      </w:rPr>
    </w:lvl>
  </w:abstractNum>
  <w:abstractNum w:abstractNumId="2" w15:restartNumberingAfterBreak="0">
    <w:nsid w:val="1AADE343"/>
    <w:multiLevelType w:val="hybridMultilevel"/>
    <w:tmpl w:val="FFFFFFFF"/>
    <w:lvl w:ilvl="0" w:tplc="4F54D474">
      <w:start w:val="1"/>
      <w:numFmt w:val="bullet"/>
      <w:lvlText w:val="·"/>
      <w:lvlJc w:val="left"/>
      <w:pPr>
        <w:ind w:left="720" w:hanging="360"/>
      </w:pPr>
      <w:rPr>
        <w:rFonts w:ascii="Symbol" w:hAnsi="Symbol" w:hint="default"/>
      </w:rPr>
    </w:lvl>
    <w:lvl w:ilvl="1" w:tplc="DC90FFE2">
      <w:start w:val="1"/>
      <w:numFmt w:val="bullet"/>
      <w:lvlText w:val="o"/>
      <w:lvlJc w:val="left"/>
      <w:pPr>
        <w:ind w:left="1440" w:hanging="360"/>
      </w:pPr>
      <w:rPr>
        <w:rFonts w:ascii="Courier New" w:hAnsi="Courier New" w:hint="default"/>
      </w:rPr>
    </w:lvl>
    <w:lvl w:ilvl="2" w:tplc="1E0E41D4">
      <w:start w:val="1"/>
      <w:numFmt w:val="bullet"/>
      <w:lvlText w:val=""/>
      <w:lvlJc w:val="left"/>
      <w:pPr>
        <w:ind w:left="2160" w:hanging="360"/>
      </w:pPr>
      <w:rPr>
        <w:rFonts w:ascii="Wingdings" w:hAnsi="Wingdings" w:hint="default"/>
      </w:rPr>
    </w:lvl>
    <w:lvl w:ilvl="3" w:tplc="C62C28BE">
      <w:start w:val="1"/>
      <w:numFmt w:val="bullet"/>
      <w:lvlText w:val=""/>
      <w:lvlJc w:val="left"/>
      <w:pPr>
        <w:ind w:left="2880" w:hanging="360"/>
      </w:pPr>
      <w:rPr>
        <w:rFonts w:ascii="Symbol" w:hAnsi="Symbol" w:hint="default"/>
      </w:rPr>
    </w:lvl>
    <w:lvl w:ilvl="4" w:tplc="616843DC">
      <w:start w:val="1"/>
      <w:numFmt w:val="bullet"/>
      <w:lvlText w:val="o"/>
      <w:lvlJc w:val="left"/>
      <w:pPr>
        <w:ind w:left="3600" w:hanging="360"/>
      </w:pPr>
      <w:rPr>
        <w:rFonts w:ascii="Courier New" w:hAnsi="Courier New" w:hint="default"/>
      </w:rPr>
    </w:lvl>
    <w:lvl w:ilvl="5" w:tplc="D772C41C">
      <w:start w:val="1"/>
      <w:numFmt w:val="bullet"/>
      <w:lvlText w:val=""/>
      <w:lvlJc w:val="left"/>
      <w:pPr>
        <w:ind w:left="4320" w:hanging="360"/>
      </w:pPr>
      <w:rPr>
        <w:rFonts w:ascii="Wingdings" w:hAnsi="Wingdings" w:hint="default"/>
      </w:rPr>
    </w:lvl>
    <w:lvl w:ilvl="6" w:tplc="DFEAB6DC">
      <w:start w:val="1"/>
      <w:numFmt w:val="bullet"/>
      <w:lvlText w:val=""/>
      <w:lvlJc w:val="left"/>
      <w:pPr>
        <w:ind w:left="5040" w:hanging="360"/>
      </w:pPr>
      <w:rPr>
        <w:rFonts w:ascii="Symbol" w:hAnsi="Symbol" w:hint="default"/>
      </w:rPr>
    </w:lvl>
    <w:lvl w:ilvl="7" w:tplc="857A3644">
      <w:start w:val="1"/>
      <w:numFmt w:val="bullet"/>
      <w:lvlText w:val="o"/>
      <w:lvlJc w:val="left"/>
      <w:pPr>
        <w:ind w:left="5760" w:hanging="360"/>
      </w:pPr>
      <w:rPr>
        <w:rFonts w:ascii="Courier New" w:hAnsi="Courier New" w:hint="default"/>
      </w:rPr>
    </w:lvl>
    <w:lvl w:ilvl="8" w:tplc="1E1A34AC">
      <w:start w:val="1"/>
      <w:numFmt w:val="bullet"/>
      <w:lvlText w:val=""/>
      <w:lvlJc w:val="left"/>
      <w:pPr>
        <w:ind w:left="6480" w:hanging="360"/>
      </w:pPr>
      <w:rPr>
        <w:rFonts w:ascii="Wingdings" w:hAnsi="Wingdings" w:hint="default"/>
      </w:rPr>
    </w:lvl>
  </w:abstractNum>
  <w:abstractNum w:abstractNumId="3" w15:restartNumberingAfterBreak="0">
    <w:nsid w:val="1D10B554"/>
    <w:multiLevelType w:val="hybridMultilevel"/>
    <w:tmpl w:val="FFFFFFFF"/>
    <w:lvl w:ilvl="0" w:tplc="B1EA00A2">
      <w:start w:val="1"/>
      <w:numFmt w:val="bullet"/>
      <w:lvlText w:val="·"/>
      <w:lvlJc w:val="left"/>
      <w:pPr>
        <w:ind w:left="720" w:hanging="360"/>
      </w:pPr>
      <w:rPr>
        <w:rFonts w:ascii="Symbol" w:hAnsi="Symbol" w:hint="default"/>
      </w:rPr>
    </w:lvl>
    <w:lvl w:ilvl="1" w:tplc="BCD6107E">
      <w:start w:val="1"/>
      <w:numFmt w:val="bullet"/>
      <w:lvlText w:val="o"/>
      <w:lvlJc w:val="left"/>
      <w:pPr>
        <w:ind w:left="1440" w:hanging="360"/>
      </w:pPr>
      <w:rPr>
        <w:rFonts w:ascii="Courier New" w:hAnsi="Courier New" w:hint="default"/>
      </w:rPr>
    </w:lvl>
    <w:lvl w:ilvl="2" w:tplc="F8C2AFE4">
      <w:start w:val="1"/>
      <w:numFmt w:val="bullet"/>
      <w:lvlText w:val=""/>
      <w:lvlJc w:val="left"/>
      <w:pPr>
        <w:ind w:left="2160" w:hanging="360"/>
      </w:pPr>
      <w:rPr>
        <w:rFonts w:ascii="Wingdings" w:hAnsi="Wingdings" w:hint="default"/>
      </w:rPr>
    </w:lvl>
    <w:lvl w:ilvl="3" w:tplc="6CF6B5F4">
      <w:start w:val="1"/>
      <w:numFmt w:val="bullet"/>
      <w:lvlText w:val=""/>
      <w:lvlJc w:val="left"/>
      <w:pPr>
        <w:ind w:left="2880" w:hanging="360"/>
      </w:pPr>
      <w:rPr>
        <w:rFonts w:ascii="Symbol" w:hAnsi="Symbol" w:hint="default"/>
      </w:rPr>
    </w:lvl>
    <w:lvl w:ilvl="4" w:tplc="F60CCBDA">
      <w:start w:val="1"/>
      <w:numFmt w:val="bullet"/>
      <w:lvlText w:val="o"/>
      <w:lvlJc w:val="left"/>
      <w:pPr>
        <w:ind w:left="3600" w:hanging="360"/>
      </w:pPr>
      <w:rPr>
        <w:rFonts w:ascii="Courier New" w:hAnsi="Courier New" w:hint="default"/>
      </w:rPr>
    </w:lvl>
    <w:lvl w:ilvl="5" w:tplc="E2F8D6C8">
      <w:start w:val="1"/>
      <w:numFmt w:val="bullet"/>
      <w:lvlText w:val=""/>
      <w:lvlJc w:val="left"/>
      <w:pPr>
        <w:ind w:left="4320" w:hanging="360"/>
      </w:pPr>
      <w:rPr>
        <w:rFonts w:ascii="Wingdings" w:hAnsi="Wingdings" w:hint="default"/>
      </w:rPr>
    </w:lvl>
    <w:lvl w:ilvl="6" w:tplc="57164948">
      <w:start w:val="1"/>
      <w:numFmt w:val="bullet"/>
      <w:lvlText w:val=""/>
      <w:lvlJc w:val="left"/>
      <w:pPr>
        <w:ind w:left="5040" w:hanging="360"/>
      </w:pPr>
      <w:rPr>
        <w:rFonts w:ascii="Symbol" w:hAnsi="Symbol" w:hint="default"/>
      </w:rPr>
    </w:lvl>
    <w:lvl w:ilvl="7" w:tplc="C4603D3E">
      <w:start w:val="1"/>
      <w:numFmt w:val="bullet"/>
      <w:lvlText w:val="o"/>
      <w:lvlJc w:val="left"/>
      <w:pPr>
        <w:ind w:left="5760" w:hanging="360"/>
      </w:pPr>
      <w:rPr>
        <w:rFonts w:ascii="Courier New" w:hAnsi="Courier New" w:hint="default"/>
      </w:rPr>
    </w:lvl>
    <w:lvl w:ilvl="8" w:tplc="EE5E498E">
      <w:start w:val="1"/>
      <w:numFmt w:val="bullet"/>
      <w:lvlText w:val=""/>
      <w:lvlJc w:val="left"/>
      <w:pPr>
        <w:ind w:left="6480" w:hanging="360"/>
      </w:pPr>
      <w:rPr>
        <w:rFonts w:ascii="Wingdings" w:hAnsi="Wingdings" w:hint="default"/>
      </w:rPr>
    </w:lvl>
  </w:abstractNum>
  <w:abstractNum w:abstractNumId="4" w15:restartNumberingAfterBreak="0">
    <w:nsid w:val="201A3ED0"/>
    <w:multiLevelType w:val="multilevel"/>
    <w:tmpl w:val="F21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058D8"/>
    <w:multiLevelType w:val="hybridMultilevel"/>
    <w:tmpl w:val="31DE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125E6"/>
    <w:multiLevelType w:val="multilevel"/>
    <w:tmpl w:val="362E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94BAE"/>
    <w:multiLevelType w:val="multilevel"/>
    <w:tmpl w:val="19FE6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E2448"/>
    <w:multiLevelType w:val="hybridMultilevel"/>
    <w:tmpl w:val="B9FEEB4C"/>
    <w:lvl w:ilvl="0" w:tplc="04090001">
      <w:start w:val="1"/>
      <w:numFmt w:val="bullet"/>
      <w:lvlText w:val=""/>
      <w:lvlJc w:val="left"/>
      <w:pPr>
        <w:ind w:left="834" w:hanging="294"/>
      </w:pPr>
      <w:rPr>
        <w:rFonts w:ascii="Symbol" w:hAnsi="Symbol" w:hint="default"/>
        <w:w w:val="100"/>
        <w:lang w:val="en-US" w:eastAsia="en-US" w:bidi="en-US"/>
      </w:rPr>
    </w:lvl>
    <w:lvl w:ilvl="1" w:tplc="38A20A12">
      <w:numFmt w:val="bullet"/>
      <w:lvlText w:val="•"/>
      <w:lvlJc w:val="left"/>
      <w:pPr>
        <w:ind w:left="1676" w:hanging="294"/>
      </w:pPr>
      <w:rPr>
        <w:rFonts w:hint="default"/>
        <w:lang w:val="en-US" w:eastAsia="en-US" w:bidi="en-US"/>
      </w:rPr>
    </w:lvl>
    <w:lvl w:ilvl="2" w:tplc="D9400642">
      <w:numFmt w:val="bullet"/>
      <w:lvlText w:val="•"/>
      <w:lvlJc w:val="left"/>
      <w:pPr>
        <w:ind w:left="2552" w:hanging="294"/>
      </w:pPr>
      <w:rPr>
        <w:rFonts w:hint="default"/>
        <w:lang w:val="en-US" w:eastAsia="en-US" w:bidi="en-US"/>
      </w:rPr>
    </w:lvl>
    <w:lvl w:ilvl="3" w:tplc="706429A2">
      <w:numFmt w:val="bullet"/>
      <w:lvlText w:val="•"/>
      <w:lvlJc w:val="left"/>
      <w:pPr>
        <w:ind w:left="3428" w:hanging="294"/>
      </w:pPr>
      <w:rPr>
        <w:rFonts w:hint="default"/>
        <w:lang w:val="en-US" w:eastAsia="en-US" w:bidi="en-US"/>
      </w:rPr>
    </w:lvl>
    <w:lvl w:ilvl="4" w:tplc="91EA561C">
      <w:numFmt w:val="bullet"/>
      <w:lvlText w:val="•"/>
      <w:lvlJc w:val="left"/>
      <w:pPr>
        <w:ind w:left="4304" w:hanging="294"/>
      </w:pPr>
      <w:rPr>
        <w:rFonts w:hint="default"/>
        <w:lang w:val="en-US" w:eastAsia="en-US" w:bidi="en-US"/>
      </w:rPr>
    </w:lvl>
    <w:lvl w:ilvl="5" w:tplc="D7FC5692">
      <w:numFmt w:val="bullet"/>
      <w:lvlText w:val="•"/>
      <w:lvlJc w:val="left"/>
      <w:pPr>
        <w:ind w:left="5180" w:hanging="294"/>
      </w:pPr>
      <w:rPr>
        <w:rFonts w:hint="default"/>
        <w:lang w:val="en-US" w:eastAsia="en-US" w:bidi="en-US"/>
      </w:rPr>
    </w:lvl>
    <w:lvl w:ilvl="6" w:tplc="7B3E6D92">
      <w:numFmt w:val="bullet"/>
      <w:lvlText w:val="•"/>
      <w:lvlJc w:val="left"/>
      <w:pPr>
        <w:ind w:left="6056" w:hanging="294"/>
      </w:pPr>
      <w:rPr>
        <w:rFonts w:hint="default"/>
        <w:lang w:val="en-US" w:eastAsia="en-US" w:bidi="en-US"/>
      </w:rPr>
    </w:lvl>
    <w:lvl w:ilvl="7" w:tplc="FFEEF8A0">
      <w:numFmt w:val="bullet"/>
      <w:lvlText w:val="•"/>
      <w:lvlJc w:val="left"/>
      <w:pPr>
        <w:ind w:left="6932" w:hanging="294"/>
      </w:pPr>
      <w:rPr>
        <w:rFonts w:hint="default"/>
        <w:lang w:val="en-US" w:eastAsia="en-US" w:bidi="en-US"/>
      </w:rPr>
    </w:lvl>
    <w:lvl w:ilvl="8" w:tplc="C5FAA51E">
      <w:numFmt w:val="bullet"/>
      <w:lvlText w:val="•"/>
      <w:lvlJc w:val="left"/>
      <w:pPr>
        <w:ind w:left="7808" w:hanging="294"/>
      </w:pPr>
      <w:rPr>
        <w:rFonts w:hint="default"/>
        <w:lang w:val="en-US" w:eastAsia="en-US" w:bidi="en-US"/>
      </w:rPr>
    </w:lvl>
  </w:abstractNum>
  <w:abstractNum w:abstractNumId="9" w15:restartNumberingAfterBreak="0">
    <w:nsid w:val="30457EC5"/>
    <w:multiLevelType w:val="multilevel"/>
    <w:tmpl w:val="3FA0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97D57"/>
    <w:multiLevelType w:val="multilevel"/>
    <w:tmpl w:val="B124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55E04"/>
    <w:multiLevelType w:val="hybridMultilevel"/>
    <w:tmpl w:val="0F54479C"/>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12" w15:restartNumberingAfterBreak="0">
    <w:nsid w:val="3D214F59"/>
    <w:multiLevelType w:val="hybridMultilevel"/>
    <w:tmpl w:val="FFFFFFFF"/>
    <w:lvl w:ilvl="0" w:tplc="53D8FCAE">
      <w:start w:val="1"/>
      <w:numFmt w:val="bullet"/>
      <w:lvlText w:val="·"/>
      <w:lvlJc w:val="left"/>
      <w:pPr>
        <w:ind w:left="720" w:hanging="360"/>
      </w:pPr>
      <w:rPr>
        <w:rFonts w:ascii="Symbol" w:hAnsi="Symbol" w:hint="default"/>
      </w:rPr>
    </w:lvl>
    <w:lvl w:ilvl="1" w:tplc="366065BA">
      <w:start w:val="1"/>
      <w:numFmt w:val="bullet"/>
      <w:lvlText w:val="o"/>
      <w:lvlJc w:val="left"/>
      <w:pPr>
        <w:ind w:left="1440" w:hanging="360"/>
      </w:pPr>
      <w:rPr>
        <w:rFonts w:ascii="Courier New" w:hAnsi="Courier New" w:hint="default"/>
      </w:rPr>
    </w:lvl>
    <w:lvl w:ilvl="2" w:tplc="F086F2DC">
      <w:start w:val="1"/>
      <w:numFmt w:val="bullet"/>
      <w:lvlText w:val=""/>
      <w:lvlJc w:val="left"/>
      <w:pPr>
        <w:ind w:left="2160" w:hanging="360"/>
      </w:pPr>
      <w:rPr>
        <w:rFonts w:ascii="Wingdings" w:hAnsi="Wingdings" w:hint="default"/>
      </w:rPr>
    </w:lvl>
    <w:lvl w:ilvl="3" w:tplc="950A36D8">
      <w:start w:val="1"/>
      <w:numFmt w:val="bullet"/>
      <w:lvlText w:val=""/>
      <w:lvlJc w:val="left"/>
      <w:pPr>
        <w:ind w:left="2880" w:hanging="360"/>
      </w:pPr>
      <w:rPr>
        <w:rFonts w:ascii="Symbol" w:hAnsi="Symbol" w:hint="default"/>
      </w:rPr>
    </w:lvl>
    <w:lvl w:ilvl="4" w:tplc="5E9CDD96">
      <w:start w:val="1"/>
      <w:numFmt w:val="bullet"/>
      <w:lvlText w:val="o"/>
      <w:lvlJc w:val="left"/>
      <w:pPr>
        <w:ind w:left="3600" w:hanging="360"/>
      </w:pPr>
      <w:rPr>
        <w:rFonts w:ascii="Courier New" w:hAnsi="Courier New" w:hint="default"/>
      </w:rPr>
    </w:lvl>
    <w:lvl w:ilvl="5" w:tplc="4B3A40BA">
      <w:start w:val="1"/>
      <w:numFmt w:val="bullet"/>
      <w:lvlText w:val=""/>
      <w:lvlJc w:val="left"/>
      <w:pPr>
        <w:ind w:left="4320" w:hanging="360"/>
      </w:pPr>
      <w:rPr>
        <w:rFonts w:ascii="Wingdings" w:hAnsi="Wingdings" w:hint="default"/>
      </w:rPr>
    </w:lvl>
    <w:lvl w:ilvl="6" w:tplc="7960BFF6">
      <w:start w:val="1"/>
      <w:numFmt w:val="bullet"/>
      <w:lvlText w:val=""/>
      <w:lvlJc w:val="left"/>
      <w:pPr>
        <w:ind w:left="5040" w:hanging="360"/>
      </w:pPr>
      <w:rPr>
        <w:rFonts w:ascii="Symbol" w:hAnsi="Symbol" w:hint="default"/>
      </w:rPr>
    </w:lvl>
    <w:lvl w:ilvl="7" w:tplc="B4F83A3E">
      <w:start w:val="1"/>
      <w:numFmt w:val="bullet"/>
      <w:lvlText w:val="o"/>
      <w:lvlJc w:val="left"/>
      <w:pPr>
        <w:ind w:left="5760" w:hanging="360"/>
      </w:pPr>
      <w:rPr>
        <w:rFonts w:ascii="Courier New" w:hAnsi="Courier New" w:hint="default"/>
      </w:rPr>
    </w:lvl>
    <w:lvl w:ilvl="8" w:tplc="D5582C8A">
      <w:start w:val="1"/>
      <w:numFmt w:val="bullet"/>
      <w:lvlText w:val=""/>
      <w:lvlJc w:val="left"/>
      <w:pPr>
        <w:ind w:left="6480" w:hanging="360"/>
      </w:pPr>
      <w:rPr>
        <w:rFonts w:ascii="Wingdings" w:hAnsi="Wingdings" w:hint="default"/>
      </w:rPr>
    </w:lvl>
  </w:abstractNum>
  <w:abstractNum w:abstractNumId="13" w15:restartNumberingAfterBreak="0">
    <w:nsid w:val="448D2783"/>
    <w:multiLevelType w:val="multilevel"/>
    <w:tmpl w:val="FD22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7485F"/>
    <w:multiLevelType w:val="multilevel"/>
    <w:tmpl w:val="5542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1F129"/>
    <w:multiLevelType w:val="hybridMultilevel"/>
    <w:tmpl w:val="FFFFFFFF"/>
    <w:lvl w:ilvl="0" w:tplc="86E8F6E4">
      <w:start w:val="1"/>
      <w:numFmt w:val="bullet"/>
      <w:lvlText w:val="·"/>
      <w:lvlJc w:val="left"/>
      <w:pPr>
        <w:ind w:left="720" w:hanging="360"/>
      </w:pPr>
      <w:rPr>
        <w:rFonts w:ascii="Symbol" w:hAnsi="Symbol" w:hint="default"/>
      </w:rPr>
    </w:lvl>
    <w:lvl w:ilvl="1" w:tplc="2006EE46">
      <w:start w:val="1"/>
      <w:numFmt w:val="bullet"/>
      <w:lvlText w:val="o"/>
      <w:lvlJc w:val="left"/>
      <w:pPr>
        <w:ind w:left="1440" w:hanging="360"/>
      </w:pPr>
      <w:rPr>
        <w:rFonts w:ascii="Courier New" w:hAnsi="Courier New" w:hint="default"/>
      </w:rPr>
    </w:lvl>
    <w:lvl w:ilvl="2" w:tplc="8514F27C">
      <w:start w:val="1"/>
      <w:numFmt w:val="bullet"/>
      <w:lvlText w:val=""/>
      <w:lvlJc w:val="left"/>
      <w:pPr>
        <w:ind w:left="2160" w:hanging="360"/>
      </w:pPr>
      <w:rPr>
        <w:rFonts w:ascii="Wingdings" w:hAnsi="Wingdings" w:hint="default"/>
      </w:rPr>
    </w:lvl>
    <w:lvl w:ilvl="3" w:tplc="0902FBC6">
      <w:start w:val="1"/>
      <w:numFmt w:val="bullet"/>
      <w:lvlText w:val=""/>
      <w:lvlJc w:val="left"/>
      <w:pPr>
        <w:ind w:left="2880" w:hanging="360"/>
      </w:pPr>
      <w:rPr>
        <w:rFonts w:ascii="Symbol" w:hAnsi="Symbol" w:hint="default"/>
      </w:rPr>
    </w:lvl>
    <w:lvl w:ilvl="4" w:tplc="6FDCC136">
      <w:start w:val="1"/>
      <w:numFmt w:val="bullet"/>
      <w:lvlText w:val="o"/>
      <w:lvlJc w:val="left"/>
      <w:pPr>
        <w:ind w:left="3600" w:hanging="360"/>
      </w:pPr>
      <w:rPr>
        <w:rFonts w:ascii="Courier New" w:hAnsi="Courier New" w:hint="default"/>
      </w:rPr>
    </w:lvl>
    <w:lvl w:ilvl="5" w:tplc="C3F629F8">
      <w:start w:val="1"/>
      <w:numFmt w:val="bullet"/>
      <w:lvlText w:val=""/>
      <w:lvlJc w:val="left"/>
      <w:pPr>
        <w:ind w:left="4320" w:hanging="360"/>
      </w:pPr>
      <w:rPr>
        <w:rFonts w:ascii="Wingdings" w:hAnsi="Wingdings" w:hint="default"/>
      </w:rPr>
    </w:lvl>
    <w:lvl w:ilvl="6" w:tplc="7FDEF632">
      <w:start w:val="1"/>
      <w:numFmt w:val="bullet"/>
      <w:lvlText w:val=""/>
      <w:lvlJc w:val="left"/>
      <w:pPr>
        <w:ind w:left="5040" w:hanging="360"/>
      </w:pPr>
      <w:rPr>
        <w:rFonts w:ascii="Symbol" w:hAnsi="Symbol" w:hint="default"/>
      </w:rPr>
    </w:lvl>
    <w:lvl w:ilvl="7" w:tplc="9A4E29B8">
      <w:start w:val="1"/>
      <w:numFmt w:val="bullet"/>
      <w:lvlText w:val="o"/>
      <w:lvlJc w:val="left"/>
      <w:pPr>
        <w:ind w:left="5760" w:hanging="360"/>
      </w:pPr>
      <w:rPr>
        <w:rFonts w:ascii="Courier New" w:hAnsi="Courier New" w:hint="default"/>
      </w:rPr>
    </w:lvl>
    <w:lvl w:ilvl="8" w:tplc="067048EE">
      <w:start w:val="1"/>
      <w:numFmt w:val="bullet"/>
      <w:lvlText w:val=""/>
      <w:lvlJc w:val="left"/>
      <w:pPr>
        <w:ind w:left="6480" w:hanging="360"/>
      </w:pPr>
      <w:rPr>
        <w:rFonts w:ascii="Wingdings" w:hAnsi="Wingdings" w:hint="default"/>
      </w:rPr>
    </w:lvl>
  </w:abstractNum>
  <w:abstractNum w:abstractNumId="16" w15:restartNumberingAfterBreak="0">
    <w:nsid w:val="4D614560"/>
    <w:multiLevelType w:val="multilevel"/>
    <w:tmpl w:val="8586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36F7D"/>
    <w:multiLevelType w:val="hybridMultilevel"/>
    <w:tmpl w:val="9848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9645D5"/>
    <w:multiLevelType w:val="multilevel"/>
    <w:tmpl w:val="6A26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8AC2D"/>
    <w:multiLevelType w:val="hybridMultilevel"/>
    <w:tmpl w:val="FFFFFFFF"/>
    <w:lvl w:ilvl="0" w:tplc="82CE91C6">
      <w:start w:val="1"/>
      <w:numFmt w:val="bullet"/>
      <w:lvlText w:val="·"/>
      <w:lvlJc w:val="left"/>
      <w:pPr>
        <w:ind w:left="720" w:hanging="360"/>
      </w:pPr>
      <w:rPr>
        <w:rFonts w:ascii="Symbol" w:hAnsi="Symbol" w:hint="default"/>
      </w:rPr>
    </w:lvl>
    <w:lvl w:ilvl="1" w:tplc="FF18F462">
      <w:start w:val="1"/>
      <w:numFmt w:val="bullet"/>
      <w:lvlText w:val="o"/>
      <w:lvlJc w:val="left"/>
      <w:pPr>
        <w:ind w:left="1440" w:hanging="360"/>
      </w:pPr>
      <w:rPr>
        <w:rFonts w:ascii="Courier New" w:hAnsi="Courier New" w:hint="default"/>
      </w:rPr>
    </w:lvl>
    <w:lvl w:ilvl="2" w:tplc="DFECEA70">
      <w:start w:val="1"/>
      <w:numFmt w:val="bullet"/>
      <w:lvlText w:val=""/>
      <w:lvlJc w:val="left"/>
      <w:pPr>
        <w:ind w:left="2160" w:hanging="360"/>
      </w:pPr>
      <w:rPr>
        <w:rFonts w:ascii="Wingdings" w:hAnsi="Wingdings" w:hint="default"/>
      </w:rPr>
    </w:lvl>
    <w:lvl w:ilvl="3" w:tplc="6C0C6A86">
      <w:start w:val="1"/>
      <w:numFmt w:val="bullet"/>
      <w:lvlText w:val=""/>
      <w:lvlJc w:val="left"/>
      <w:pPr>
        <w:ind w:left="2880" w:hanging="360"/>
      </w:pPr>
      <w:rPr>
        <w:rFonts w:ascii="Symbol" w:hAnsi="Symbol" w:hint="default"/>
      </w:rPr>
    </w:lvl>
    <w:lvl w:ilvl="4" w:tplc="277AB974">
      <w:start w:val="1"/>
      <w:numFmt w:val="bullet"/>
      <w:lvlText w:val="o"/>
      <w:lvlJc w:val="left"/>
      <w:pPr>
        <w:ind w:left="3600" w:hanging="360"/>
      </w:pPr>
      <w:rPr>
        <w:rFonts w:ascii="Courier New" w:hAnsi="Courier New" w:hint="default"/>
      </w:rPr>
    </w:lvl>
    <w:lvl w:ilvl="5" w:tplc="1D9A2492">
      <w:start w:val="1"/>
      <w:numFmt w:val="bullet"/>
      <w:lvlText w:val=""/>
      <w:lvlJc w:val="left"/>
      <w:pPr>
        <w:ind w:left="4320" w:hanging="360"/>
      </w:pPr>
      <w:rPr>
        <w:rFonts w:ascii="Wingdings" w:hAnsi="Wingdings" w:hint="default"/>
      </w:rPr>
    </w:lvl>
    <w:lvl w:ilvl="6" w:tplc="69BE2FAE">
      <w:start w:val="1"/>
      <w:numFmt w:val="bullet"/>
      <w:lvlText w:val=""/>
      <w:lvlJc w:val="left"/>
      <w:pPr>
        <w:ind w:left="5040" w:hanging="360"/>
      </w:pPr>
      <w:rPr>
        <w:rFonts w:ascii="Symbol" w:hAnsi="Symbol" w:hint="default"/>
      </w:rPr>
    </w:lvl>
    <w:lvl w:ilvl="7" w:tplc="84CC1D1A">
      <w:start w:val="1"/>
      <w:numFmt w:val="bullet"/>
      <w:lvlText w:val="o"/>
      <w:lvlJc w:val="left"/>
      <w:pPr>
        <w:ind w:left="5760" w:hanging="360"/>
      </w:pPr>
      <w:rPr>
        <w:rFonts w:ascii="Courier New" w:hAnsi="Courier New" w:hint="default"/>
      </w:rPr>
    </w:lvl>
    <w:lvl w:ilvl="8" w:tplc="C71AC9A0">
      <w:start w:val="1"/>
      <w:numFmt w:val="bullet"/>
      <w:lvlText w:val=""/>
      <w:lvlJc w:val="left"/>
      <w:pPr>
        <w:ind w:left="6480" w:hanging="360"/>
      </w:pPr>
      <w:rPr>
        <w:rFonts w:ascii="Wingdings" w:hAnsi="Wingdings" w:hint="default"/>
      </w:rPr>
    </w:lvl>
  </w:abstractNum>
  <w:abstractNum w:abstractNumId="20" w15:restartNumberingAfterBreak="0">
    <w:nsid w:val="77C928B4"/>
    <w:multiLevelType w:val="multilevel"/>
    <w:tmpl w:val="5BE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097536"/>
    <w:multiLevelType w:val="hybridMultilevel"/>
    <w:tmpl w:val="FFFFFFFF"/>
    <w:lvl w:ilvl="0" w:tplc="23782830">
      <w:start w:val="1"/>
      <w:numFmt w:val="bullet"/>
      <w:lvlText w:val="·"/>
      <w:lvlJc w:val="left"/>
      <w:pPr>
        <w:ind w:left="720" w:hanging="360"/>
      </w:pPr>
      <w:rPr>
        <w:rFonts w:ascii="Symbol" w:hAnsi="Symbol" w:hint="default"/>
      </w:rPr>
    </w:lvl>
    <w:lvl w:ilvl="1" w:tplc="003C5FE0">
      <w:start w:val="1"/>
      <w:numFmt w:val="bullet"/>
      <w:lvlText w:val="o"/>
      <w:lvlJc w:val="left"/>
      <w:pPr>
        <w:ind w:left="1440" w:hanging="360"/>
      </w:pPr>
      <w:rPr>
        <w:rFonts w:ascii="Courier New" w:hAnsi="Courier New" w:hint="default"/>
      </w:rPr>
    </w:lvl>
    <w:lvl w:ilvl="2" w:tplc="ADF052D4">
      <w:start w:val="1"/>
      <w:numFmt w:val="bullet"/>
      <w:lvlText w:val=""/>
      <w:lvlJc w:val="left"/>
      <w:pPr>
        <w:ind w:left="2160" w:hanging="360"/>
      </w:pPr>
      <w:rPr>
        <w:rFonts w:ascii="Wingdings" w:hAnsi="Wingdings" w:hint="default"/>
      </w:rPr>
    </w:lvl>
    <w:lvl w:ilvl="3" w:tplc="1F521030">
      <w:start w:val="1"/>
      <w:numFmt w:val="bullet"/>
      <w:lvlText w:val=""/>
      <w:lvlJc w:val="left"/>
      <w:pPr>
        <w:ind w:left="2880" w:hanging="360"/>
      </w:pPr>
      <w:rPr>
        <w:rFonts w:ascii="Symbol" w:hAnsi="Symbol" w:hint="default"/>
      </w:rPr>
    </w:lvl>
    <w:lvl w:ilvl="4" w:tplc="43965B88">
      <w:start w:val="1"/>
      <w:numFmt w:val="bullet"/>
      <w:lvlText w:val="o"/>
      <w:lvlJc w:val="left"/>
      <w:pPr>
        <w:ind w:left="3600" w:hanging="360"/>
      </w:pPr>
      <w:rPr>
        <w:rFonts w:ascii="Courier New" w:hAnsi="Courier New" w:hint="default"/>
      </w:rPr>
    </w:lvl>
    <w:lvl w:ilvl="5" w:tplc="D5ACA716">
      <w:start w:val="1"/>
      <w:numFmt w:val="bullet"/>
      <w:lvlText w:val=""/>
      <w:lvlJc w:val="left"/>
      <w:pPr>
        <w:ind w:left="4320" w:hanging="360"/>
      </w:pPr>
      <w:rPr>
        <w:rFonts w:ascii="Wingdings" w:hAnsi="Wingdings" w:hint="default"/>
      </w:rPr>
    </w:lvl>
    <w:lvl w:ilvl="6" w:tplc="8D08183A">
      <w:start w:val="1"/>
      <w:numFmt w:val="bullet"/>
      <w:lvlText w:val=""/>
      <w:lvlJc w:val="left"/>
      <w:pPr>
        <w:ind w:left="5040" w:hanging="360"/>
      </w:pPr>
      <w:rPr>
        <w:rFonts w:ascii="Symbol" w:hAnsi="Symbol" w:hint="default"/>
      </w:rPr>
    </w:lvl>
    <w:lvl w:ilvl="7" w:tplc="C4103B12">
      <w:start w:val="1"/>
      <w:numFmt w:val="bullet"/>
      <w:lvlText w:val="o"/>
      <w:lvlJc w:val="left"/>
      <w:pPr>
        <w:ind w:left="5760" w:hanging="360"/>
      </w:pPr>
      <w:rPr>
        <w:rFonts w:ascii="Courier New" w:hAnsi="Courier New" w:hint="default"/>
      </w:rPr>
    </w:lvl>
    <w:lvl w:ilvl="8" w:tplc="820458C8">
      <w:start w:val="1"/>
      <w:numFmt w:val="bullet"/>
      <w:lvlText w:val=""/>
      <w:lvlJc w:val="left"/>
      <w:pPr>
        <w:ind w:left="6480" w:hanging="360"/>
      </w:pPr>
      <w:rPr>
        <w:rFonts w:ascii="Wingdings" w:hAnsi="Wingdings" w:hint="default"/>
      </w:rPr>
    </w:lvl>
  </w:abstractNum>
  <w:num w:numId="1" w16cid:durableId="975640262">
    <w:abstractNumId w:val="21"/>
  </w:num>
  <w:num w:numId="2" w16cid:durableId="1949576632">
    <w:abstractNumId w:val="2"/>
  </w:num>
  <w:num w:numId="3" w16cid:durableId="89547332">
    <w:abstractNumId w:val="8"/>
  </w:num>
  <w:num w:numId="4" w16cid:durableId="1770540679">
    <w:abstractNumId w:val="17"/>
  </w:num>
  <w:num w:numId="5" w16cid:durableId="1810442029">
    <w:abstractNumId w:val="5"/>
  </w:num>
  <w:num w:numId="6" w16cid:durableId="1546990467">
    <w:abstractNumId w:val="0"/>
  </w:num>
  <w:num w:numId="7" w16cid:durableId="2021153319">
    <w:abstractNumId w:val="18"/>
  </w:num>
  <w:num w:numId="8" w16cid:durableId="261695047">
    <w:abstractNumId w:val="16"/>
  </w:num>
  <w:num w:numId="9" w16cid:durableId="766851962">
    <w:abstractNumId w:val="4"/>
  </w:num>
  <w:num w:numId="10" w16cid:durableId="559942363">
    <w:abstractNumId w:val="20"/>
  </w:num>
  <w:num w:numId="11" w16cid:durableId="330255326">
    <w:abstractNumId w:val="19"/>
  </w:num>
  <w:num w:numId="12" w16cid:durableId="2053923097">
    <w:abstractNumId w:val="1"/>
  </w:num>
  <w:num w:numId="13" w16cid:durableId="258946416">
    <w:abstractNumId w:val="12"/>
  </w:num>
  <w:num w:numId="14" w16cid:durableId="23097776">
    <w:abstractNumId w:val="3"/>
  </w:num>
  <w:num w:numId="15" w16cid:durableId="1437752949">
    <w:abstractNumId w:val="15"/>
  </w:num>
  <w:num w:numId="16" w16cid:durableId="1775130030">
    <w:abstractNumId w:val="11"/>
  </w:num>
  <w:num w:numId="17" w16cid:durableId="1055347992">
    <w:abstractNumId w:val="10"/>
  </w:num>
  <w:num w:numId="18" w16cid:durableId="2075351998">
    <w:abstractNumId w:val="14"/>
  </w:num>
  <w:num w:numId="19" w16cid:durableId="1378891197">
    <w:abstractNumId w:val="13"/>
  </w:num>
  <w:num w:numId="20" w16cid:durableId="771975736">
    <w:abstractNumId w:val="9"/>
  </w:num>
  <w:num w:numId="21" w16cid:durableId="981008451">
    <w:abstractNumId w:val="7"/>
  </w:num>
  <w:num w:numId="22" w16cid:durableId="1239246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29"/>
    <w:rsid w:val="00004EFB"/>
    <w:rsid w:val="00006C11"/>
    <w:rsid w:val="00010826"/>
    <w:rsid w:val="0001204B"/>
    <w:rsid w:val="000127A8"/>
    <w:rsid w:val="00013452"/>
    <w:rsid w:val="00015E25"/>
    <w:rsid w:val="0001617B"/>
    <w:rsid w:val="000166D5"/>
    <w:rsid w:val="00016DF4"/>
    <w:rsid w:val="00017575"/>
    <w:rsid w:val="0002049E"/>
    <w:rsid w:val="00023BB4"/>
    <w:rsid w:val="00026AEF"/>
    <w:rsid w:val="00027D82"/>
    <w:rsid w:val="000303C4"/>
    <w:rsid w:val="00030B09"/>
    <w:rsid w:val="00034162"/>
    <w:rsid w:val="00034437"/>
    <w:rsid w:val="0003474D"/>
    <w:rsid w:val="00035AAE"/>
    <w:rsid w:val="00036ECB"/>
    <w:rsid w:val="00037905"/>
    <w:rsid w:val="00037999"/>
    <w:rsid w:val="00040DD1"/>
    <w:rsid w:val="00044D19"/>
    <w:rsid w:val="00044EFE"/>
    <w:rsid w:val="000454F1"/>
    <w:rsid w:val="00045A47"/>
    <w:rsid w:val="00045D6A"/>
    <w:rsid w:val="000479A7"/>
    <w:rsid w:val="00050B6B"/>
    <w:rsid w:val="00051540"/>
    <w:rsid w:val="00053862"/>
    <w:rsid w:val="000556FE"/>
    <w:rsid w:val="00055B86"/>
    <w:rsid w:val="00056434"/>
    <w:rsid w:val="000569EB"/>
    <w:rsid w:val="00060031"/>
    <w:rsid w:val="0006016F"/>
    <w:rsid w:val="00060BF2"/>
    <w:rsid w:val="0006335A"/>
    <w:rsid w:val="00063553"/>
    <w:rsid w:val="000639B6"/>
    <w:rsid w:val="00066A30"/>
    <w:rsid w:val="00066F55"/>
    <w:rsid w:val="00067280"/>
    <w:rsid w:val="0007019D"/>
    <w:rsid w:val="00070372"/>
    <w:rsid w:val="00071F6F"/>
    <w:rsid w:val="0007275A"/>
    <w:rsid w:val="00072BBD"/>
    <w:rsid w:val="00073FFF"/>
    <w:rsid w:val="00074832"/>
    <w:rsid w:val="0007779F"/>
    <w:rsid w:val="00081FA5"/>
    <w:rsid w:val="00082CAE"/>
    <w:rsid w:val="000836C1"/>
    <w:rsid w:val="000856BE"/>
    <w:rsid w:val="000857C4"/>
    <w:rsid w:val="00085B2C"/>
    <w:rsid w:val="00087064"/>
    <w:rsid w:val="0008727D"/>
    <w:rsid w:val="00091DC4"/>
    <w:rsid w:val="00092075"/>
    <w:rsid w:val="000930B6"/>
    <w:rsid w:val="00093D82"/>
    <w:rsid w:val="00096B59"/>
    <w:rsid w:val="00096BD3"/>
    <w:rsid w:val="000A1874"/>
    <w:rsid w:val="000A1B86"/>
    <w:rsid w:val="000A28B2"/>
    <w:rsid w:val="000A2AAC"/>
    <w:rsid w:val="000A3AA8"/>
    <w:rsid w:val="000A4724"/>
    <w:rsid w:val="000A4AB9"/>
    <w:rsid w:val="000A50C8"/>
    <w:rsid w:val="000A68C5"/>
    <w:rsid w:val="000B1D5C"/>
    <w:rsid w:val="000B1EE3"/>
    <w:rsid w:val="000B272D"/>
    <w:rsid w:val="000B2A65"/>
    <w:rsid w:val="000B4D93"/>
    <w:rsid w:val="000B5389"/>
    <w:rsid w:val="000B549B"/>
    <w:rsid w:val="000B5E82"/>
    <w:rsid w:val="000C1C9A"/>
    <w:rsid w:val="000C24A3"/>
    <w:rsid w:val="000C26D8"/>
    <w:rsid w:val="000C3525"/>
    <w:rsid w:val="000C3CD7"/>
    <w:rsid w:val="000C4E49"/>
    <w:rsid w:val="000C6834"/>
    <w:rsid w:val="000C79E5"/>
    <w:rsid w:val="000D010D"/>
    <w:rsid w:val="000D0FD0"/>
    <w:rsid w:val="000D23FE"/>
    <w:rsid w:val="000D29CD"/>
    <w:rsid w:val="000D403A"/>
    <w:rsid w:val="000D7B62"/>
    <w:rsid w:val="000E0E9F"/>
    <w:rsid w:val="000E30AC"/>
    <w:rsid w:val="000E3C74"/>
    <w:rsid w:val="000E4622"/>
    <w:rsid w:val="000E4EA8"/>
    <w:rsid w:val="000E6357"/>
    <w:rsid w:val="000E7A51"/>
    <w:rsid w:val="000F04C5"/>
    <w:rsid w:val="000F2B9A"/>
    <w:rsid w:val="000F3947"/>
    <w:rsid w:val="000F4380"/>
    <w:rsid w:val="000F5B10"/>
    <w:rsid w:val="000F7F10"/>
    <w:rsid w:val="00100616"/>
    <w:rsid w:val="00101D80"/>
    <w:rsid w:val="00101EA5"/>
    <w:rsid w:val="0010239E"/>
    <w:rsid w:val="00102F04"/>
    <w:rsid w:val="00103AFE"/>
    <w:rsid w:val="0010429F"/>
    <w:rsid w:val="001043F2"/>
    <w:rsid w:val="001046BF"/>
    <w:rsid w:val="00104B72"/>
    <w:rsid w:val="00104E7C"/>
    <w:rsid w:val="00105407"/>
    <w:rsid w:val="00105CB8"/>
    <w:rsid w:val="0010658F"/>
    <w:rsid w:val="00107A57"/>
    <w:rsid w:val="00110F6C"/>
    <w:rsid w:val="00111BD9"/>
    <w:rsid w:val="001122B3"/>
    <w:rsid w:val="00112467"/>
    <w:rsid w:val="0011275D"/>
    <w:rsid w:val="00113630"/>
    <w:rsid w:val="00113867"/>
    <w:rsid w:val="0011501E"/>
    <w:rsid w:val="00115BF3"/>
    <w:rsid w:val="00115CB5"/>
    <w:rsid w:val="00116993"/>
    <w:rsid w:val="00117280"/>
    <w:rsid w:val="001202C9"/>
    <w:rsid w:val="00120B37"/>
    <w:rsid w:val="00122402"/>
    <w:rsid w:val="00123702"/>
    <w:rsid w:val="00123A20"/>
    <w:rsid w:val="00124D30"/>
    <w:rsid w:val="0012717B"/>
    <w:rsid w:val="00131CE2"/>
    <w:rsid w:val="001327F3"/>
    <w:rsid w:val="001339B9"/>
    <w:rsid w:val="00135923"/>
    <w:rsid w:val="00137557"/>
    <w:rsid w:val="00146476"/>
    <w:rsid w:val="00146C4E"/>
    <w:rsid w:val="00147BCA"/>
    <w:rsid w:val="0015191F"/>
    <w:rsid w:val="00153B62"/>
    <w:rsid w:val="00154E5E"/>
    <w:rsid w:val="00155F79"/>
    <w:rsid w:val="00156CC0"/>
    <w:rsid w:val="00157AEA"/>
    <w:rsid w:val="00157E5A"/>
    <w:rsid w:val="001618FD"/>
    <w:rsid w:val="001645CE"/>
    <w:rsid w:val="00164C46"/>
    <w:rsid w:val="001665B8"/>
    <w:rsid w:val="00166EFE"/>
    <w:rsid w:val="001706F1"/>
    <w:rsid w:val="00173954"/>
    <w:rsid w:val="001748FD"/>
    <w:rsid w:val="00175869"/>
    <w:rsid w:val="00175C35"/>
    <w:rsid w:val="00176045"/>
    <w:rsid w:val="001761A4"/>
    <w:rsid w:val="001803ED"/>
    <w:rsid w:val="00180811"/>
    <w:rsid w:val="001819F5"/>
    <w:rsid w:val="00181B07"/>
    <w:rsid w:val="00183AFD"/>
    <w:rsid w:val="00185748"/>
    <w:rsid w:val="00185D70"/>
    <w:rsid w:val="001907A7"/>
    <w:rsid w:val="00190AC7"/>
    <w:rsid w:val="00190AD6"/>
    <w:rsid w:val="00193E4F"/>
    <w:rsid w:val="00195FDB"/>
    <w:rsid w:val="0019730F"/>
    <w:rsid w:val="001A0D4A"/>
    <w:rsid w:val="001A1243"/>
    <w:rsid w:val="001A18DB"/>
    <w:rsid w:val="001A2099"/>
    <w:rsid w:val="001A3809"/>
    <w:rsid w:val="001A464C"/>
    <w:rsid w:val="001A47DA"/>
    <w:rsid w:val="001A5472"/>
    <w:rsid w:val="001A6EED"/>
    <w:rsid w:val="001A7B7E"/>
    <w:rsid w:val="001B39BB"/>
    <w:rsid w:val="001B4460"/>
    <w:rsid w:val="001B5B56"/>
    <w:rsid w:val="001B5DE5"/>
    <w:rsid w:val="001B662A"/>
    <w:rsid w:val="001B7AB5"/>
    <w:rsid w:val="001B7CC3"/>
    <w:rsid w:val="001C058A"/>
    <w:rsid w:val="001C41A5"/>
    <w:rsid w:val="001C4412"/>
    <w:rsid w:val="001C58C8"/>
    <w:rsid w:val="001C5D34"/>
    <w:rsid w:val="001C6D41"/>
    <w:rsid w:val="001D0314"/>
    <w:rsid w:val="001D0534"/>
    <w:rsid w:val="001D0CCC"/>
    <w:rsid w:val="001D18A9"/>
    <w:rsid w:val="001D1FE5"/>
    <w:rsid w:val="001D2125"/>
    <w:rsid w:val="001D33C1"/>
    <w:rsid w:val="001D344E"/>
    <w:rsid w:val="001D4320"/>
    <w:rsid w:val="001D43D5"/>
    <w:rsid w:val="001D4A70"/>
    <w:rsid w:val="001D5118"/>
    <w:rsid w:val="001D60C4"/>
    <w:rsid w:val="001E0493"/>
    <w:rsid w:val="001E111F"/>
    <w:rsid w:val="001E178A"/>
    <w:rsid w:val="001E30A7"/>
    <w:rsid w:val="001E3943"/>
    <w:rsid w:val="001E4E54"/>
    <w:rsid w:val="001E5F9A"/>
    <w:rsid w:val="001E7CB9"/>
    <w:rsid w:val="001F6025"/>
    <w:rsid w:val="001F7A0B"/>
    <w:rsid w:val="001F7BBA"/>
    <w:rsid w:val="00201810"/>
    <w:rsid w:val="002019E7"/>
    <w:rsid w:val="00202394"/>
    <w:rsid w:val="00207A70"/>
    <w:rsid w:val="0021020C"/>
    <w:rsid w:val="002122BA"/>
    <w:rsid w:val="002172A7"/>
    <w:rsid w:val="002174A2"/>
    <w:rsid w:val="00221695"/>
    <w:rsid w:val="00221A28"/>
    <w:rsid w:val="00222902"/>
    <w:rsid w:val="002242A7"/>
    <w:rsid w:val="00226545"/>
    <w:rsid w:val="00226ED4"/>
    <w:rsid w:val="0022D76C"/>
    <w:rsid w:val="00231FC6"/>
    <w:rsid w:val="002320C1"/>
    <w:rsid w:val="00233904"/>
    <w:rsid w:val="00234806"/>
    <w:rsid w:val="00234C5F"/>
    <w:rsid w:val="00234E27"/>
    <w:rsid w:val="0023510D"/>
    <w:rsid w:val="00235C7A"/>
    <w:rsid w:val="00240A9F"/>
    <w:rsid w:val="00240EC8"/>
    <w:rsid w:val="00241E5D"/>
    <w:rsid w:val="00243736"/>
    <w:rsid w:val="00247404"/>
    <w:rsid w:val="0024780A"/>
    <w:rsid w:val="002502A9"/>
    <w:rsid w:val="00251BB8"/>
    <w:rsid w:val="00252065"/>
    <w:rsid w:val="00252FFD"/>
    <w:rsid w:val="00253098"/>
    <w:rsid w:val="0025538B"/>
    <w:rsid w:val="002560DF"/>
    <w:rsid w:val="0026024F"/>
    <w:rsid w:val="002614C5"/>
    <w:rsid w:val="0026274C"/>
    <w:rsid w:val="00262FA3"/>
    <w:rsid w:val="002637C7"/>
    <w:rsid w:val="00265510"/>
    <w:rsid w:val="00265C2F"/>
    <w:rsid w:val="00266DDD"/>
    <w:rsid w:val="00267A8E"/>
    <w:rsid w:val="00270BE8"/>
    <w:rsid w:val="002713A6"/>
    <w:rsid w:val="00272D4E"/>
    <w:rsid w:val="00273A18"/>
    <w:rsid w:val="00274F3E"/>
    <w:rsid w:val="00274F4A"/>
    <w:rsid w:val="0027560A"/>
    <w:rsid w:val="002762F6"/>
    <w:rsid w:val="002775A5"/>
    <w:rsid w:val="002806F4"/>
    <w:rsid w:val="00280D92"/>
    <w:rsid w:val="00281F4A"/>
    <w:rsid w:val="00282B30"/>
    <w:rsid w:val="002833B8"/>
    <w:rsid w:val="00283EF0"/>
    <w:rsid w:val="0028400F"/>
    <w:rsid w:val="0028426D"/>
    <w:rsid w:val="00285907"/>
    <w:rsid w:val="00285D16"/>
    <w:rsid w:val="002877B9"/>
    <w:rsid w:val="00287FF9"/>
    <w:rsid w:val="00290482"/>
    <w:rsid w:val="00290C92"/>
    <w:rsid w:val="00291CBE"/>
    <w:rsid w:val="002925E6"/>
    <w:rsid w:val="0029407C"/>
    <w:rsid w:val="002954B6"/>
    <w:rsid w:val="00296480"/>
    <w:rsid w:val="002966DE"/>
    <w:rsid w:val="002A16EF"/>
    <w:rsid w:val="002A2DF4"/>
    <w:rsid w:val="002A3AF9"/>
    <w:rsid w:val="002A7B98"/>
    <w:rsid w:val="002B0D45"/>
    <w:rsid w:val="002B1DA4"/>
    <w:rsid w:val="002B1F0D"/>
    <w:rsid w:val="002B21F9"/>
    <w:rsid w:val="002B4AA4"/>
    <w:rsid w:val="002B6076"/>
    <w:rsid w:val="002B6B97"/>
    <w:rsid w:val="002B78CE"/>
    <w:rsid w:val="002C1187"/>
    <w:rsid w:val="002C16C6"/>
    <w:rsid w:val="002C1ED8"/>
    <w:rsid w:val="002C3ADD"/>
    <w:rsid w:val="002C68D7"/>
    <w:rsid w:val="002C71F3"/>
    <w:rsid w:val="002C78C5"/>
    <w:rsid w:val="002D1FA6"/>
    <w:rsid w:val="002D3F82"/>
    <w:rsid w:val="002D4214"/>
    <w:rsid w:val="002D4352"/>
    <w:rsid w:val="002D4A9A"/>
    <w:rsid w:val="002D57EB"/>
    <w:rsid w:val="002E032F"/>
    <w:rsid w:val="002E089E"/>
    <w:rsid w:val="002E1EDE"/>
    <w:rsid w:val="002E3E8B"/>
    <w:rsid w:val="002E58D5"/>
    <w:rsid w:val="002E5DC3"/>
    <w:rsid w:val="002F06C1"/>
    <w:rsid w:val="002F0A64"/>
    <w:rsid w:val="002F1EED"/>
    <w:rsid w:val="002F2038"/>
    <w:rsid w:val="002F258E"/>
    <w:rsid w:val="002F2C48"/>
    <w:rsid w:val="002F35D1"/>
    <w:rsid w:val="002F3DAC"/>
    <w:rsid w:val="002F4990"/>
    <w:rsid w:val="002F4E16"/>
    <w:rsid w:val="002F5404"/>
    <w:rsid w:val="002F54C6"/>
    <w:rsid w:val="002F5580"/>
    <w:rsid w:val="002F6D0B"/>
    <w:rsid w:val="002F70FF"/>
    <w:rsid w:val="003004B1"/>
    <w:rsid w:val="00300F55"/>
    <w:rsid w:val="0030370F"/>
    <w:rsid w:val="00303A16"/>
    <w:rsid w:val="00304E7A"/>
    <w:rsid w:val="003052C9"/>
    <w:rsid w:val="0030531D"/>
    <w:rsid w:val="00306405"/>
    <w:rsid w:val="00307217"/>
    <w:rsid w:val="00307882"/>
    <w:rsid w:val="0030798F"/>
    <w:rsid w:val="00307FBF"/>
    <w:rsid w:val="00311828"/>
    <w:rsid w:val="0031294D"/>
    <w:rsid w:val="00315859"/>
    <w:rsid w:val="003159D7"/>
    <w:rsid w:val="00315E71"/>
    <w:rsid w:val="0031666E"/>
    <w:rsid w:val="003166B4"/>
    <w:rsid w:val="003173A9"/>
    <w:rsid w:val="003173FB"/>
    <w:rsid w:val="003174B2"/>
    <w:rsid w:val="003200AE"/>
    <w:rsid w:val="003203AE"/>
    <w:rsid w:val="00320B13"/>
    <w:rsid w:val="00321610"/>
    <w:rsid w:val="00321C1B"/>
    <w:rsid w:val="003252EE"/>
    <w:rsid w:val="00327EA8"/>
    <w:rsid w:val="00331561"/>
    <w:rsid w:val="00333336"/>
    <w:rsid w:val="0033481A"/>
    <w:rsid w:val="00337C7C"/>
    <w:rsid w:val="00337E6A"/>
    <w:rsid w:val="00346648"/>
    <w:rsid w:val="00350170"/>
    <w:rsid w:val="00350412"/>
    <w:rsid w:val="0035132C"/>
    <w:rsid w:val="003522AC"/>
    <w:rsid w:val="00353652"/>
    <w:rsid w:val="00353912"/>
    <w:rsid w:val="00354454"/>
    <w:rsid w:val="00355398"/>
    <w:rsid w:val="003562D4"/>
    <w:rsid w:val="003575C4"/>
    <w:rsid w:val="0035775D"/>
    <w:rsid w:val="00357954"/>
    <w:rsid w:val="00362218"/>
    <w:rsid w:val="003622E8"/>
    <w:rsid w:val="00363327"/>
    <w:rsid w:val="0036409C"/>
    <w:rsid w:val="0036416D"/>
    <w:rsid w:val="0036418F"/>
    <w:rsid w:val="00364CDA"/>
    <w:rsid w:val="00364DD9"/>
    <w:rsid w:val="00367516"/>
    <w:rsid w:val="00371DB9"/>
    <w:rsid w:val="0037215E"/>
    <w:rsid w:val="00373322"/>
    <w:rsid w:val="00373EF3"/>
    <w:rsid w:val="00375620"/>
    <w:rsid w:val="00376E13"/>
    <w:rsid w:val="00377391"/>
    <w:rsid w:val="003802F8"/>
    <w:rsid w:val="00380F80"/>
    <w:rsid w:val="00381DCB"/>
    <w:rsid w:val="003826F7"/>
    <w:rsid w:val="003836D9"/>
    <w:rsid w:val="00385725"/>
    <w:rsid w:val="00386281"/>
    <w:rsid w:val="00386B76"/>
    <w:rsid w:val="0038712D"/>
    <w:rsid w:val="00387AC3"/>
    <w:rsid w:val="00387E1A"/>
    <w:rsid w:val="00390184"/>
    <w:rsid w:val="00390783"/>
    <w:rsid w:val="00390C9D"/>
    <w:rsid w:val="003951F7"/>
    <w:rsid w:val="00395917"/>
    <w:rsid w:val="0039765B"/>
    <w:rsid w:val="003A2F85"/>
    <w:rsid w:val="003A372F"/>
    <w:rsid w:val="003A477A"/>
    <w:rsid w:val="003A6406"/>
    <w:rsid w:val="003A66CA"/>
    <w:rsid w:val="003A67DC"/>
    <w:rsid w:val="003A68B0"/>
    <w:rsid w:val="003A7216"/>
    <w:rsid w:val="003B0EE8"/>
    <w:rsid w:val="003B13B8"/>
    <w:rsid w:val="003B2B06"/>
    <w:rsid w:val="003B4344"/>
    <w:rsid w:val="003B4481"/>
    <w:rsid w:val="003B55EA"/>
    <w:rsid w:val="003B5C9E"/>
    <w:rsid w:val="003B6C96"/>
    <w:rsid w:val="003C0301"/>
    <w:rsid w:val="003C0F36"/>
    <w:rsid w:val="003C0F96"/>
    <w:rsid w:val="003C1003"/>
    <w:rsid w:val="003C214A"/>
    <w:rsid w:val="003C4364"/>
    <w:rsid w:val="003C59A4"/>
    <w:rsid w:val="003C6072"/>
    <w:rsid w:val="003C6906"/>
    <w:rsid w:val="003C7F28"/>
    <w:rsid w:val="003D13E6"/>
    <w:rsid w:val="003D1D49"/>
    <w:rsid w:val="003D2029"/>
    <w:rsid w:val="003D4A41"/>
    <w:rsid w:val="003D5632"/>
    <w:rsid w:val="003D5EE2"/>
    <w:rsid w:val="003D731D"/>
    <w:rsid w:val="003D77CB"/>
    <w:rsid w:val="003E1921"/>
    <w:rsid w:val="003E1A64"/>
    <w:rsid w:val="003E408C"/>
    <w:rsid w:val="003E65D9"/>
    <w:rsid w:val="003F0711"/>
    <w:rsid w:val="003F1222"/>
    <w:rsid w:val="003F2157"/>
    <w:rsid w:val="003F2549"/>
    <w:rsid w:val="003F3582"/>
    <w:rsid w:val="003F38FA"/>
    <w:rsid w:val="003F3C12"/>
    <w:rsid w:val="003F40DA"/>
    <w:rsid w:val="003F5171"/>
    <w:rsid w:val="003F7373"/>
    <w:rsid w:val="004001B5"/>
    <w:rsid w:val="004004EC"/>
    <w:rsid w:val="00401517"/>
    <w:rsid w:val="004039CD"/>
    <w:rsid w:val="00403AD9"/>
    <w:rsid w:val="00405DE5"/>
    <w:rsid w:val="00406531"/>
    <w:rsid w:val="00406D37"/>
    <w:rsid w:val="00410F55"/>
    <w:rsid w:val="00412AF3"/>
    <w:rsid w:val="0041385B"/>
    <w:rsid w:val="00414E8C"/>
    <w:rsid w:val="00415C0E"/>
    <w:rsid w:val="00420869"/>
    <w:rsid w:val="00421176"/>
    <w:rsid w:val="00422A79"/>
    <w:rsid w:val="0042412B"/>
    <w:rsid w:val="00425C5E"/>
    <w:rsid w:val="0042629A"/>
    <w:rsid w:val="00426907"/>
    <w:rsid w:val="00427649"/>
    <w:rsid w:val="0043421B"/>
    <w:rsid w:val="00434955"/>
    <w:rsid w:val="00435D82"/>
    <w:rsid w:val="00435FBB"/>
    <w:rsid w:val="00436671"/>
    <w:rsid w:val="00437446"/>
    <w:rsid w:val="00437BFD"/>
    <w:rsid w:val="00440A02"/>
    <w:rsid w:val="004414BF"/>
    <w:rsid w:val="00441BDD"/>
    <w:rsid w:val="00442485"/>
    <w:rsid w:val="004435E1"/>
    <w:rsid w:val="00445410"/>
    <w:rsid w:val="00447425"/>
    <w:rsid w:val="004474CE"/>
    <w:rsid w:val="00455D0C"/>
    <w:rsid w:val="004567CD"/>
    <w:rsid w:val="00456B1A"/>
    <w:rsid w:val="00457CAE"/>
    <w:rsid w:val="0046220E"/>
    <w:rsid w:val="00462B8D"/>
    <w:rsid w:val="0046301A"/>
    <w:rsid w:val="00463D70"/>
    <w:rsid w:val="004664C9"/>
    <w:rsid w:val="00467067"/>
    <w:rsid w:val="00471809"/>
    <w:rsid w:val="00471FB1"/>
    <w:rsid w:val="00473194"/>
    <w:rsid w:val="00473F7E"/>
    <w:rsid w:val="0047437B"/>
    <w:rsid w:val="00474F2D"/>
    <w:rsid w:val="004754BA"/>
    <w:rsid w:val="004755AD"/>
    <w:rsid w:val="00475BB1"/>
    <w:rsid w:val="00475D2E"/>
    <w:rsid w:val="00475DDE"/>
    <w:rsid w:val="00481305"/>
    <w:rsid w:val="00483807"/>
    <w:rsid w:val="004850EC"/>
    <w:rsid w:val="0048595A"/>
    <w:rsid w:val="00486671"/>
    <w:rsid w:val="00486EA3"/>
    <w:rsid w:val="0048774C"/>
    <w:rsid w:val="00487FB7"/>
    <w:rsid w:val="004902FF"/>
    <w:rsid w:val="004906B3"/>
    <w:rsid w:val="00490921"/>
    <w:rsid w:val="00490CF3"/>
    <w:rsid w:val="00491D48"/>
    <w:rsid w:val="00492D8F"/>
    <w:rsid w:val="00496D1A"/>
    <w:rsid w:val="0049743B"/>
    <w:rsid w:val="004A0050"/>
    <w:rsid w:val="004A103C"/>
    <w:rsid w:val="004A1F70"/>
    <w:rsid w:val="004A327D"/>
    <w:rsid w:val="004A51E9"/>
    <w:rsid w:val="004A56BF"/>
    <w:rsid w:val="004B298A"/>
    <w:rsid w:val="004B3933"/>
    <w:rsid w:val="004C006E"/>
    <w:rsid w:val="004C0E91"/>
    <w:rsid w:val="004C18B6"/>
    <w:rsid w:val="004C1C12"/>
    <w:rsid w:val="004C1F7F"/>
    <w:rsid w:val="004C558D"/>
    <w:rsid w:val="004C5862"/>
    <w:rsid w:val="004C712E"/>
    <w:rsid w:val="004C7279"/>
    <w:rsid w:val="004C771B"/>
    <w:rsid w:val="004C7E44"/>
    <w:rsid w:val="004D327F"/>
    <w:rsid w:val="004D467F"/>
    <w:rsid w:val="004D4F39"/>
    <w:rsid w:val="004D5496"/>
    <w:rsid w:val="004D598B"/>
    <w:rsid w:val="004D683D"/>
    <w:rsid w:val="004E172D"/>
    <w:rsid w:val="004E26A7"/>
    <w:rsid w:val="004E2EB3"/>
    <w:rsid w:val="004E4C46"/>
    <w:rsid w:val="004E5322"/>
    <w:rsid w:val="004E6493"/>
    <w:rsid w:val="004E6793"/>
    <w:rsid w:val="004E6899"/>
    <w:rsid w:val="004F11CB"/>
    <w:rsid w:val="004F5AF0"/>
    <w:rsid w:val="004F675C"/>
    <w:rsid w:val="004F6A2E"/>
    <w:rsid w:val="00500652"/>
    <w:rsid w:val="00503EAB"/>
    <w:rsid w:val="00504C11"/>
    <w:rsid w:val="00505FA4"/>
    <w:rsid w:val="0050604D"/>
    <w:rsid w:val="00506493"/>
    <w:rsid w:val="00511413"/>
    <w:rsid w:val="0051203A"/>
    <w:rsid w:val="005121D0"/>
    <w:rsid w:val="00512C7F"/>
    <w:rsid w:val="00512DA5"/>
    <w:rsid w:val="005131B7"/>
    <w:rsid w:val="00513DD3"/>
    <w:rsid w:val="0051401C"/>
    <w:rsid w:val="00514721"/>
    <w:rsid w:val="005149B1"/>
    <w:rsid w:val="0051521E"/>
    <w:rsid w:val="005166A1"/>
    <w:rsid w:val="00520376"/>
    <w:rsid w:val="00520C4C"/>
    <w:rsid w:val="00521761"/>
    <w:rsid w:val="005221BC"/>
    <w:rsid w:val="005224CC"/>
    <w:rsid w:val="00522E6D"/>
    <w:rsid w:val="005235A7"/>
    <w:rsid w:val="005235C8"/>
    <w:rsid w:val="00523B85"/>
    <w:rsid w:val="0052430B"/>
    <w:rsid w:val="00524B2E"/>
    <w:rsid w:val="0052544A"/>
    <w:rsid w:val="00526F74"/>
    <w:rsid w:val="00527146"/>
    <w:rsid w:val="005273B8"/>
    <w:rsid w:val="0053131B"/>
    <w:rsid w:val="00532D92"/>
    <w:rsid w:val="00534530"/>
    <w:rsid w:val="00535E9A"/>
    <w:rsid w:val="005362C3"/>
    <w:rsid w:val="005369CC"/>
    <w:rsid w:val="00541890"/>
    <w:rsid w:val="00541B1A"/>
    <w:rsid w:val="005431A2"/>
    <w:rsid w:val="0054328B"/>
    <w:rsid w:val="005459AA"/>
    <w:rsid w:val="00545C12"/>
    <w:rsid w:val="00546AB0"/>
    <w:rsid w:val="00550471"/>
    <w:rsid w:val="00551750"/>
    <w:rsid w:val="00554ADD"/>
    <w:rsid w:val="00556ACB"/>
    <w:rsid w:val="00557665"/>
    <w:rsid w:val="0056051D"/>
    <w:rsid w:val="0056178D"/>
    <w:rsid w:val="005638B3"/>
    <w:rsid w:val="00564178"/>
    <w:rsid w:val="00565205"/>
    <w:rsid w:val="00565635"/>
    <w:rsid w:val="005661D3"/>
    <w:rsid w:val="00566BC9"/>
    <w:rsid w:val="00566DF6"/>
    <w:rsid w:val="0056753E"/>
    <w:rsid w:val="005706D9"/>
    <w:rsid w:val="00570DA4"/>
    <w:rsid w:val="00572CD8"/>
    <w:rsid w:val="00572F4C"/>
    <w:rsid w:val="005759D7"/>
    <w:rsid w:val="005803E9"/>
    <w:rsid w:val="00581231"/>
    <w:rsid w:val="005829F5"/>
    <w:rsid w:val="0058448B"/>
    <w:rsid w:val="0058492F"/>
    <w:rsid w:val="005857CF"/>
    <w:rsid w:val="00586C21"/>
    <w:rsid w:val="00590B46"/>
    <w:rsid w:val="00591238"/>
    <w:rsid w:val="005924C1"/>
    <w:rsid w:val="00593465"/>
    <w:rsid w:val="005941C8"/>
    <w:rsid w:val="00595F47"/>
    <w:rsid w:val="00597F01"/>
    <w:rsid w:val="005A0DE7"/>
    <w:rsid w:val="005A0F25"/>
    <w:rsid w:val="005A17E9"/>
    <w:rsid w:val="005A2C99"/>
    <w:rsid w:val="005A346D"/>
    <w:rsid w:val="005A3507"/>
    <w:rsid w:val="005A374A"/>
    <w:rsid w:val="005A55BD"/>
    <w:rsid w:val="005A6227"/>
    <w:rsid w:val="005B1090"/>
    <w:rsid w:val="005B1E2D"/>
    <w:rsid w:val="005B331D"/>
    <w:rsid w:val="005B4891"/>
    <w:rsid w:val="005B4E79"/>
    <w:rsid w:val="005B7F6E"/>
    <w:rsid w:val="005C0AC7"/>
    <w:rsid w:val="005C3C18"/>
    <w:rsid w:val="005C48E4"/>
    <w:rsid w:val="005C4D94"/>
    <w:rsid w:val="005D347E"/>
    <w:rsid w:val="005D44EE"/>
    <w:rsid w:val="005D45C2"/>
    <w:rsid w:val="005D46A5"/>
    <w:rsid w:val="005D4C3B"/>
    <w:rsid w:val="005D5C00"/>
    <w:rsid w:val="005D6CBC"/>
    <w:rsid w:val="005D71E4"/>
    <w:rsid w:val="005D796F"/>
    <w:rsid w:val="005E1085"/>
    <w:rsid w:val="005E2706"/>
    <w:rsid w:val="005E31B6"/>
    <w:rsid w:val="005E484E"/>
    <w:rsid w:val="005E5011"/>
    <w:rsid w:val="005E5786"/>
    <w:rsid w:val="005E60F7"/>
    <w:rsid w:val="005E7E55"/>
    <w:rsid w:val="005F1030"/>
    <w:rsid w:val="005F11B3"/>
    <w:rsid w:val="005F2C22"/>
    <w:rsid w:val="005F2EB7"/>
    <w:rsid w:val="005F2EC6"/>
    <w:rsid w:val="005F614D"/>
    <w:rsid w:val="005F76E7"/>
    <w:rsid w:val="00600B4F"/>
    <w:rsid w:val="00601ED3"/>
    <w:rsid w:val="00602E77"/>
    <w:rsid w:val="00602EAF"/>
    <w:rsid w:val="00602EF5"/>
    <w:rsid w:val="006119C2"/>
    <w:rsid w:val="006131BA"/>
    <w:rsid w:val="0061355E"/>
    <w:rsid w:val="00613C6C"/>
    <w:rsid w:val="00613E36"/>
    <w:rsid w:val="00616257"/>
    <w:rsid w:val="006177F2"/>
    <w:rsid w:val="006209AF"/>
    <w:rsid w:val="00621826"/>
    <w:rsid w:val="00621891"/>
    <w:rsid w:val="006234B1"/>
    <w:rsid w:val="006243BD"/>
    <w:rsid w:val="006252FC"/>
    <w:rsid w:val="006254C1"/>
    <w:rsid w:val="00625909"/>
    <w:rsid w:val="00625AC4"/>
    <w:rsid w:val="006277BB"/>
    <w:rsid w:val="00627F1B"/>
    <w:rsid w:val="00630DCF"/>
    <w:rsid w:val="0063184E"/>
    <w:rsid w:val="00633AD9"/>
    <w:rsid w:val="006341FB"/>
    <w:rsid w:val="00634E6C"/>
    <w:rsid w:val="00635F01"/>
    <w:rsid w:val="00636382"/>
    <w:rsid w:val="00636476"/>
    <w:rsid w:val="00636604"/>
    <w:rsid w:val="006507D0"/>
    <w:rsid w:val="00653165"/>
    <w:rsid w:val="00654A44"/>
    <w:rsid w:val="00656401"/>
    <w:rsid w:val="006572B0"/>
    <w:rsid w:val="00661297"/>
    <w:rsid w:val="0066482B"/>
    <w:rsid w:val="006657BB"/>
    <w:rsid w:val="00667A97"/>
    <w:rsid w:val="00671ECA"/>
    <w:rsid w:val="00672440"/>
    <w:rsid w:val="00672558"/>
    <w:rsid w:val="006727A3"/>
    <w:rsid w:val="00674725"/>
    <w:rsid w:val="00675A36"/>
    <w:rsid w:val="00675B14"/>
    <w:rsid w:val="00675ECB"/>
    <w:rsid w:val="006770D2"/>
    <w:rsid w:val="006859AF"/>
    <w:rsid w:val="006867E9"/>
    <w:rsid w:val="00687A96"/>
    <w:rsid w:val="00687B56"/>
    <w:rsid w:val="006913DC"/>
    <w:rsid w:val="0069195B"/>
    <w:rsid w:val="00691EAF"/>
    <w:rsid w:val="00692E7E"/>
    <w:rsid w:val="00693CC1"/>
    <w:rsid w:val="00694F6C"/>
    <w:rsid w:val="00695E12"/>
    <w:rsid w:val="00696107"/>
    <w:rsid w:val="006978E5"/>
    <w:rsid w:val="00697C68"/>
    <w:rsid w:val="006A0222"/>
    <w:rsid w:val="006A0AF7"/>
    <w:rsid w:val="006A14D7"/>
    <w:rsid w:val="006A188E"/>
    <w:rsid w:val="006A2ABB"/>
    <w:rsid w:val="006A2B37"/>
    <w:rsid w:val="006A7D54"/>
    <w:rsid w:val="006A7EC6"/>
    <w:rsid w:val="006A7FA9"/>
    <w:rsid w:val="006B2056"/>
    <w:rsid w:val="006B3BA8"/>
    <w:rsid w:val="006B4DA7"/>
    <w:rsid w:val="006B6218"/>
    <w:rsid w:val="006B6DF9"/>
    <w:rsid w:val="006B71A5"/>
    <w:rsid w:val="006C06F9"/>
    <w:rsid w:val="006C1224"/>
    <w:rsid w:val="006C2D66"/>
    <w:rsid w:val="006C2FFB"/>
    <w:rsid w:val="006C338B"/>
    <w:rsid w:val="006C3750"/>
    <w:rsid w:val="006C3DA0"/>
    <w:rsid w:val="006C576C"/>
    <w:rsid w:val="006C5F17"/>
    <w:rsid w:val="006C6125"/>
    <w:rsid w:val="006C683A"/>
    <w:rsid w:val="006C6D9A"/>
    <w:rsid w:val="006C7A00"/>
    <w:rsid w:val="006D0094"/>
    <w:rsid w:val="006D13AA"/>
    <w:rsid w:val="006D1C01"/>
    <w:rsid w:val="006D2250"/>
    <w:rsid w:val="006D31D1"/>
    <w:rsid w:val="006D42EF"/>
    <w:rsid w:val="006D4B8E"/>
    <w:rsid w:val="006D5DFD"/>
    <w:rsid w:val="006E1862"/>
    <w:rsid w:val="006E57CC"/>
    <w:rsid w:val="006E61A5"/>
    <w:rsid w:val="006E6CAE"/>
    <w:rsid w:val="006E7E4F"/>
    <w:rsid w:val="006F0163"/>
    <w:rsid w:val="006F0C08"/>
    <w:rsid w:val="006F19BE"/>
    <w:rsid w:val="006F3B19"/>
    <w:rsid w:val="006F4FCC"/>
    <w:rsid w:val="006F5925"/>
    <w:rsid w:val="006F599C"/>
    <w:rsid w:val="006F5F00"/>
    <w:rsid w:val="0070010E"/>
    <w:rsid w:val="007011E4"/>
    <w:rsid w:val="007017BD"/>
    <w:rsid w:val="00703902"/>
    <w:rsid w:val="007049F9"/>
    <w:rsid w:val="00704B1F"/>
    <w:rsid w:val="007100AA"/>
    <w:rsid w:val="007103E0"/>
    <w:rsid w:val="0071161B"/>
    <w:rsid w:val="00711DA2"/>
    <w:rsid w:val="00713703"/>
    <w:rsid w:val="007139CF"/>
    <w:rsid w:val="0071414A"/>
    <w:rsid w:val="00715AE7"/>
    <w:rsid w:val="0071626F"/>
    <w:rsid w:val="007178D0"/>
    <w:rsid w:val="0072018E"/>
    <w:rsid w:val="007206D4"/>
    <w:rsid w:val="00723E85"/>
    <w:rsid w:val="007255EF"/>
    <w:rsid w:val="00725C5C"/>
    <w:rsid w:val="00727960"/>
    <w:rsid w:val="00731B74"/>
    <w:rsid w:val="00732027"/>
    <w:rsid w:val="007324A5"/>
    <w:rsid w:val="00732898"/>
    <w:rsid w:val="00732BEA"/>
    <w:rsid w:val="0073326C"/>
    <w:rsid w:val="007339D5"/>
    <w:rsid w:val="00733FB4"/>
    <w:rsid w:val="007343D0"/>
    <w:rsid w:val="007367E7"/>
    <w:rsid w:val="00737EC2"/>
    <w:rsid w:val="0074149E"/>
    <w:rsid w:val="00741A2A"/>
    <w:rsid w:val="00742655"/>
    <w:rsid w:val="00742803"/>
    <w:rsid w:val="0074489E"/>
    <w:rsid w:val="00744F12"/>
    <w:rsid w:val="00745399"/>
    <w:rsid w:val="007469BF"/>
    <w:rsid w:val="00746BD3"/>
    <w:rsid w:val="00747388"/>
    <w:rsid w:val="00750C97"/>
    <w:rsid w:val="0075100F"/>
    <w:rsid w:val="00751108"/>
    <w:rsid w:val="007529AE"/>
    <w:rsid w:val="00754082"/>
    <w:rsid w:val="00755EAD"/>
    <w:rsid w:val="007571E5"/>
    <w:rsid w:val="00761EE9"/>
    <w:rsid w:val="00762332"/>
    <w:rsid w:val="00762F41"/>
    <w:rsid w:val="00766A6C"/>
    <w:rsid w:val="00770797"/>
    <w:rsid w:val="007709C1"/>
    <w:rsid w:val="00771AD0"/>
    <w:rsid w:val="00771D01"/>
    <w:rsid w:val="00774600"/>
    <w:rsid w:val="00775167"/>
    <w:rsid w:val="00775AB0"/>
    <w:rsid w:val="007765E2"/>
    <w:rsid w:val="00780447"/>
    <w:rsid w:val="007853A7"/>
    <w:rsid w:val="00787DD9"/>
    <w:rsid w:val="00787F63"/>
    <w:rsid w:val="007903DD"/>
    <w:rsid w:val="00790AF9"/>
    <w:rsid w:val="00790E24"/>
    <w:rsid w:val="00790ED9"/>
    <w:rsid w:val="00792779"/>
    <w:rsid w:val="00794346"/>
    <w:rsid w:val="00795186"/>
    <w:rsid w:val="00796C12"/>
    <w:rsid w:val="007A2F3C"/>
    <w:rsid w:val="007A3CC2"/>
    <w:rsid w:val="007A4904"/>
    <w:rsid w:val="007A6292"/>
    <w:rsid w:val="007A776E"/>
    <w:rsid w:val="007B3FB7"/>
    <w:rsid w:val="007B4258"/>
    <w:rsid w:val="007B6930"/>
    <w:rsid w:val="007B6E8B"/>
    <w:rsid w:val="007C04B2"/>
    <w:rsid w:val="007C0C89"/>
    <w:rsid w:val="007C1801"/>
    <w:rsid w:val="007C19D7"/>
    <w:rsid w:val="007C2299"/>
    <w:rsid w:val="007C2789"/>
    <w:rsid w:val="007C2B45"/>
    <w:rsid w:val="007C6974"/>
    <w:rsid w:val="007C7072"/>
    <w:rsid w:val="007C74B7"/>
    <w:rsid w:val="007C7A19"/>
    <w:rsid w:val="007D2AEA"/>
    <w:rsid w:val="007D2C02"/>
    <w:rsid w:val="007D4ACB"/>
    <w:rsid w:val="007D6604"/>
    <w:rsid w:val="007D7C25"/>
    <w:rsid w:val="007E1301"/>
    <w:rsid w:val="007E281B"/>
    <w:rsid w:val="007E2C17"/>
    <w:rsid w:val="007E3021"/>
    <w:rsid w:val="007E386B"/>
    <w:rsid w:val="007E4672"/>
    <w:rsid w:val="007E59B3"/>
    <w:rsid w:val="007E6159"/>
    <w:rsid w:val="007E69B2"/>
    <w:rsid w:val="007E6CEB"/>
    <w:rsid w:val="007E7311"/>
    <w:rsid w:val="007E7A1B"/>
    <w:rsid w:val="007F17BD"/>
    <w:rsid w:val="007F1B8B"/>
    <w:rsid w:val="007F25EB"/>
    <w:rsid w:val="007F4C61"/>
    <w:rsid w:val="007F5E34"/>
    <w:rsid w:val="007F65A7"/>
    <w:rsid w:val="007F70F4"/>
    <w:rsid w:val="007F7E8D"/>
    <w:rsid w:val="00801087"/>
    <w:rsid w:val="008030F2"/>
    <w:rsid w:val="00803711"/>
    <w:rsid w:val="0080449A"/>
    <w:rsid w:val="00804F4E"/>
    <w:rsid w:val="00805574"/>
    <w:rsid w:val="00806C3A"/>
    <w:rsid w:val="00807020"/>
    <w:rsid w:val="0081081F"/>
    <w:rsid w:val="00812133"/>
    <w:rsid w:val="00813EBB"/>
    <w:rsid w:val="008143CF"/>
    <w:rsid w:val="00816071"/>
    <w:rsid w:val="0081723B"/>
    <w:rsid w:val="0082124F"/>
    <w:rsid w:val="00822932"/>
    <w:rsid w:val="008229F4"/>
    <w:rsid w:val="00823C73"/>
    <w:rsid w:val="00824B61"/>
    <w:rsid w:val="0082508E"/>
    <w:rsid w:val="008251CE"/>
    <w:rsid w:val="00825EB7"/>
    <w:rsid w:val="0082656B"/>
    <w:rsid w:val="008308FF"/>
    <w:rsid w:val="0083123A"/>
    <w:rsid w:val="00831553"/>
    <w:rsid w:val="00833C50"/>
    <w:rsid w:val="00833D3A"/>
    <w:rsid w:val="00833F87"/>
    <w:rsid w:val="008352E7"/>
    <w:rsid w:val="0083536F"/>
    <w:rsid w:val="00840B60"/>
    <w:rsid w:val="00842426"/>
    <w:rsid w:val="00843650"/>
    <w:rsid w:val="00843E7E"/>
    <w:rsid w:val="00845E9D"/>
    <w:rsid w:val="008463AE"/>
    <w:rsid w:val="00846507"/>
    <w:rsid w:val="008467DA"/>
    <w:rsid w:val="00846F37"/>
    <w:rsid w:val="00846F9D"/>
    <w:rsid w:val="00850DFC"/>
    <w:rsid w:val="008523DA"/>
    <w:rsid w:val="00852779"/>
    <w:rsid w:val="00853709"/>
    <w:rsid w:val="00856153"/>
    <w:rsid w:val="00857984"/>
    <w:rsid w:val="00860386"/>
    <w:rsid w:val="008608FF"/>
    <w:rsid w:val="00861247"/>
    <w:rsid w:val="008615B4"/>
    <w:rsid w:val="00861D17"/>
    <w:rsid w:val="00861F3F"/>
    <w:rsid w:val="00862299"/>
    <w:rsid w:val="00862626"/>
    <w:rsid w:val="00864D6C"/>
    <w:rsid w:val="00865B2A"/>
    <w:rsid w:val="00865D33"/>
    <w:rsid w:val="00870289"/>
    <w:rsid w:val="00870390"/>
    <w:rsid w:val="00872061"/>
    <w:rsid w:val="008745F1"/>
    <w:rsid w:val="008760F5"/>
    <w:rsid w:val="0087673E"/>
    <w:rsid w:val="00877EBF"/>
    <w:rsid w:val="00877F4E"/>
    <w:rsid w:val="008828BF"/>
    <w:rsid w:val="0088378A"/>
    <w:rsid w:val="008861E2"/>
    <w:rsid w:val="00887FF1"/>
    <w:rsid w:val="00890BC5"/>
    <w:rsid w:val="00892541"/>
    <w:rsid w:val="008929BC"/>
    <w:rsid w:val="0089561D"/>
    <w:rsid w:val="0089735F"/>
    <w:rsid w:val="00897CF3"/>
    <w:rsid w:val="008A2D2E"/>
    <w:rsid w:val="008A39DE"/>
    <w:rsid w:val="008A4E91"/>
    <w:rsid w:val="008A5253"/>
    <w:rsid w:val="008A53AB"/>
    <w:rsid w:val="008A53F2"/>
    <w:rsid w:val="008A5E8A"/>
    <w:rsid w:val="008A6313"/>
    <w:rsid w:val="008A6528"/>
    <w:rsid w:val="008A7EE7"/>
    <w:rsid w:val="008B06ED"/>
    <w:rsid w:val="008B3BB7"/>
    <w:rsid w:val="008B3D78"/>
    <w:rsid w:val="008B4EBC"/>
    <w:rsid w:val="008B5DBE"/>
    <w:rsid w:val="008B775D"/>
    <w:rsid w:val="008B7B19"/>
    <w:rsid w:val="008C10FF"/>
    <w:rsid w:val="008C1791"/>
    <w:rsid w:val="008C19B9"/>
    <w:rsid w:val="008C1AAE"/>
    <w:rsid w:val="008C6384"/>
    <w:rsid w:val="008D04C8"/>
    <w:rsid w:val="008D0BEE"/>
    <w:rsid w:val="008D0FB4"/>
    <w:rsid w:val="008D102B"/>
    <w:rsid w:val="008D3DAD"/>
    <w:rsid w:val="008D4332"/>
    <w:rsid w:val="008D65B3"/>
    <w:rsid w:val="008D777C"/>
    <w:rsid w:val="008D793C"/>
    <w:rsid w:val="008E05A9"/>
    <w:rsid w:val="008E07E9"/>
    <w:rsid w:val="008E0FB2"/>
    <w:rsid w:val="008E108F"/>
    <w:rsid w:val="008E325B"/>
    <w:rsid w:val="008E369C"/>
    <w:rsid w:val="008E3761"/>
    <w:rsid w:val="008E4229"/>
    <w:rsid w:val="008E46BB"/>
    <w:rsid w:val="008E73F2"/>
    <w:rsid w:val="008E7C3B"/>
    <w:rsid w:val="008F0149"/>
    <w:rsid w:val="008F07FD"/>
    <w:rsid w:val="008F22EB"/>
    <w:rsid w:val="008F2884"/>
    <w:rsid w:val="008F339F"/>
    <w:rsid w:val="008F62A6"/>
    <w:rsid w:val="008F6622"/>
    <w:rsid w:val="00900F2C"/>
    <w:rsid w:val="00901E66"/>
    <w:rsid w:val="009023F6"/>
    <w:rsid w:val="00902655"/>
    <w:rsid w:val="009032BD"/>
    <w:rsid w:val="0090414B"/>
    <w:rsid w:val="00905358"/>
    <w:rsid w:val="00905C82"/>
    <w:rsid w:val="00906179"/>
    <w:rsid w:val="00907C8D"/>
    <w:rsid w:val="00907E72"/>
    <w:rsid w:val="009126A8"/>
    <w:rsid w:val="00914D02"/>
    <w:rsid w:val="00916788"/>
    <w:rsid w:val="00916D83"/>
    <w:rsid w:val="00916E26"/>
    <w:rsid w:val="00920103"/>
    <w:rsid w:val="00920742"/>
    <w:rsid w:val="00920AD9"/>
    <w:rsid w:val="00921EC7"/>
    <w:rsid w:val="009220CE"/>
    <w:rsid w:val="009234D0"/>
    <w:rsid w:val="00924324"/>
    <w:rsid w:val="0092791B"/>
    <w:rsid w:val="00932E4C"/>
    <w:rsid w:val="0093356D"/>
    <w:rsid w:val="00934580"/>
    <w:rsid w:val="00935233"/>
    <w:rsid w:val="00935522"/>
    <w:rsid w:val="009357EA"/>
    <w:rsid w:val="00935A3F"/>
    <w:rsid w:val="00935CB5"/>
    <w:rsid w:val="00935E3F"/>
    <w:rsid w:val="00941221"/>
    <w:rsid w:val="00941573"/>
    <w:rsid w:val="00942DCE"/>
    <w:rsid w:val="009439BC"/>
    <w:rsid w:val="009441BB"/>
    <w:rsid w:val="009466A1"/>
    <w:rsid w:val="00947090"/>
    <w:rsid w:val="0095086B"/>
    <w:rsid w:val="00951699"/>
    <w:rsid w:val="00951C28"/>
    <w:rsid w:val="009526E5"/>
    <w:rsid w:val="009570E9"/>
    <w:rsid w:val="0095747F"/>
    <w:rsid w:val="00963421"/>
    <w:rsid w:val="00963D86"/>
    <w:rsid w:val="00965E04"/>
    <w:rsid w:val="00967FBD"/>
    <w:rsid w:val="00971C4A"/>
    <w:rsid w:val="0097262F"/>
    <w:rsid w:val="00973043"/>
    <w:rsid w:val="00973588"/>
    <w:rsid w:val="00975AD8"/>
    <w:rsid w:val="00975C95"/>
    <w:rsid w:val="00977E34"/>
    <w:rsid w:val="00981E12"/>
    <w:rsid w:val="0098407B"/>
    <w:rsid w:val="00984C6A"/>
    <w:rsid w:val="00986791"/>
    <w:rsid w:val="00986998"/>
    <w:rsid w:val="009869E0"/>
    <w:rsid w:val="00986CDE"/>
    <w:rsid w:val="0099274F"/>
    <w:rsid w:val="00992BA0"/>
    <w:rsid w:val="0099392C"/>
    <w:rsid w:val="00995E37"/>
    <w:rsid w:val="00996289"/>
    <w:rsid w:val="00996B10"/>
    <w:rsid w:val="00996FA6"/>
    <w:rsid w:val="009977F1"/>
    <w:rsid w:val="009A019D"/>
    <w:rsid w:val="009A0B1C"/>
    <w:rsid w:val="009A2D07"/>
    <w:rsid w:val="009A3973"/>
    <w:rsid w:val="009A3EA1"/>
    <w:rsid w:val="009A4783"/>
    <w:rsid w:val="009A7444"/>
    <w:rsid w:val="009A78AE"/>
    <w:rsid w:val="009A7966"/>
    <w:rsid w:val="009A7E9C"/>
    <w:rsid w:val="009B2234"/>
    <w:rsid w:val="009B324B"/>
    <w:rsid w:val="009B39BC"/>
    <w:rsid w:val="009B40AA"/>
    <w:rsid w:val="009B48D6"/>
    <w:rsid w:val="009B5B2D"/>
    <w:rsid w:val="009B64FD"/>
    <w:rsid w:val="009B773E"/>
    <w:rsid w:val="009C1B42"/>
    <w:rsid w:val="009C1BA5"/>
    <w:rsid w:val="009C2BCC"/>
    <w:rsid w:val="009C33BC"/>
    <w:rsid w:val="009C389D"/>
    <w:rsid w:val="009C397A"/>
    <w:rsid w:val="009C3FED"/>
    <w:rsid w:val="009C40F5"/>
    <w:rsid w:val="009C50AF"/>
    <w:rsid w:val="009C5B52"/>
    <w:rsid w:val="009C6745"/>
    <w:rsid w:val="009C6DDA"/>
    <w:rsid w:val="009C7A83"/>
    <w:rsid w:val="009D2664"/>
    <w:rsid w:val="009D2980"/>
    <w:rsid w:val="009D2C53"/>
    <w:rsid w:val="009D54D5"/>
    <w:rsid w:val="009D580A"/>
    <w:rsid w:val="009D5F53"/>
    <w:rsid w:val="009D6987"/>
    <w:rsid w:val="009D711E"/>
    <w:rsid w:val="009D720E"/>
    <w:rsid w:val="009E0282"/>
    <w:rsid w:val="009E1717"/>
    <w:rsid w:val="009E2E46"/>
    <w:rsid w:val="009E6225"/>
    <w:rsid w:val="009E6934"/>
    <w:rsid w:val="009E6A7C"/>
    <w:rsid w:val="009E7380"/>
    <w:rsid w:val="009E7C35"/>
    <w:rsid w:val="009F0638"/>
    <w:rsid w:val="009F0C49"/>
    <w:rsid w:val="009F2402"/>
    <w:rsid w:val="009F407D"/>
    <w:rsid w:val="009F637A"/>
    <w:rsid w:val="009F6984"/>
    <w:rsid w:val="00A00728"/>
    <w:rsid w:val="00A01128"/>
    <w:rsid w:val="00A02292"/>
    <w:rsid w:val="00A02F5E"/>
    <w:rsid w:val="00A0466F"/>
    <w:rsid w:val="00A0634B"/>
    <w:rsid w:val="00A07E81"/>
    <w:rsid w:val="00A10112"/>
    <w:rsid w:val="00A10536"/>
    <w:rsid w:val="00A105E7"/>
    <w:rsid w:val="00A1097A"/>
    <w:rsid w:val="00A12EB1"/>
    <w:rsid w:val="00A14237"/>
    <w:rsid w:val="00A17754"/>
    <w:rsid w:val="00A20BA0"/>
    <w:rsid w:val="00A21655"/>
    <w:rsid w:val="00A21DFB"/>
    <w:rsid w:val="00A2203F"/>
    <w:rsid w:val="00A2217D"/>
    <w:rsid w:val="00A224B4"/>
    <w:rsid w:val="00A2270A"/>
    <w:rsid w:val="00A22A1A"/>
    <w:rsid w:val="00A23A05"/>
    <w:rsid w:val="00A240C0"/>
    <w:rsid w:val="00A241BD"/>
    <w:rsid w:val="00A26415"/>
    <w:rsid w:val="00A2687F"/>
    <w:rsid w:val="00A273A2"/>
    <w:rsid w:val="00A27437"/>
    <w:rsid w:val="00A279E0"/>
    <w:rsid w:val="00A27F1A"/>
    <w:rsid w:val="00A30AEC"/>
    <w:rsid w:val="00A319E7"/>
    <w:rsid w:val="00A31DC7"/>
    <w:rsid w:val="00A3216C"/>
    <w:rsid w:val="00A36DE0"/>
    <w:rsid w:val="00A37541"/>
    <w:rsid w:val="00A37ADD"/>
    <w:rsid w:val="00A41136"/>
    <w:rsid w:val="00A50B36"/>
    <w:rsid w:val="00A52203"/>
    <w:rsid w:val="00A5246E"/>
    <w:rsid w:val="00A5363E"/>
    <w:rsid w:val="00A54CB9"/>
    <w:rsid w:val="00A560A6"/>
    <w:rsid w:val="00A5654D"/>
    <w:rsid w:val="00A56AC6"/>
    <w:rsid w:val="00A61099"/>
    <w:rsid w:val="00A61641"/>
    <w:rsid w:val="00A622FA"/>
    <w:rsid w:val="00A62BF6"/>
    <w:rsid w:val="00A63AEB"/>
    <w:rsid w:val="00A64F01"/>
    <w:rsid w:val="00A66389"/>
    <w:rsid w:val="00A67CA3"/>
    <w:rsid w:val="00A67CD0"/>
    <w:rsid w:val="00A67DD2"/>
    <w:rsid w:val="00A70866"/>
    <w:rsid w:val="00A713F7"/>
    <w:rsid w:val="00A71DB2"/>
    <w:rsid w:val="00A71E3C"/>
    <w:rsid w:val="00A72722"/>
    <w:rsid w:val="00A76121"/>
    <w:rsid w:val="00A772F1"/>
    <w:rsid w:val="00A773DF"/>
    <w:rsid w:val="00A7796F"/>
    <w:rsid w:val="00A817A4"/>
    <w:rsid w:val="00A81A6F"/>
    <w:rsid w:val="00A82C27"/>
    <w:rsid w:val="00A848E6"/>
    <w:rsid w:val="00A850AC"/>
    <w:rsid w:val="00A85B72"/>
    <w:rsid w:val="00A8701A"/>
    <w:rsid w:val="00A87588"/>
    <w:rsid w:val="00A901A5"/>
    <w:rsid w:val="00A91ABA"/>
    <w:rsid w:val="00A92D31"/>
    <w:rsid w:val="00A92FCF"/>
    <w:rsid w:val="00A934DC"/>
    <w:rsid w:val="00A94DBA"/>
    <w:rsid w:val="00A95CB3"/>
    <w:rsid w:val="00A968EA"/>
    <w:rsid w:val="00AA0440"/>
    <w:rsid w:val="00AA0F02"/>
    <w:rsid w:val="00AA0F19"/>
    <w:rsid w:val="00AA15ED"/>
    <w:rsid w:val="00AA1A8B"/>
    <w:rsid w:val="00AA327E"/>
    <w:rsid w:val="00AA390C"/>
    <w:rsid w:val="00AA3DB4"/>
    <w:rsid w:val="00AA5C7D"/>
    <w:rsid w:val="00AA638B"/>
    <w:rsid w:val="00AA69EA"/>
    <w:rsid w:val="00AA7A29"/>
    <w:rsid w:val="00AB0457"/>
    <w:rsid w:val="00AB1800"/>
    <w:rsid w:val="00AB3CEF"/>
    <w:rsid w:val="00AB4528"/>
    <w:rsid w:val="00AB4C40"/>
    <w:rsid w:val="00AB4E3A"/>
    <w:rsid w:val="00AB5A0C"/>
    <w:rsid w:val="00AB5A6C"/>
    <w:rsid w:val="00AB5AED"/>
    <w:rsid w:val="00AB5C76"/>
    <w:rsid w:val="00AB75FA"/>
    <w:rsid w:val="00AC671A"/>
    <w:rsid w:val="00AD01F6"/>
    <w:rsid w:val="00AD388B"/>
    <w:rsid w:val="00AD4FA9"/>
    <w:rsid w:val="00AD55EB"/>
    <w:rsid w:val="00AD5FB7"/>
    <w:rsid w:val="00AD78A4"/>
    <w:rsid w:val="00AE2BCD"/>
    <w:rsid w:val="00AE3373"/>
    <w:rsid w:val="00AE3514"/>
    <w:rsid w:val="00AE3A33"/>
    <w:rsid w:val="00AE6808"/>
    <w:rsid w:val="00AE769B"/>
    <w:rsid w:val="00AF0D04"/>
    <w:rsid w:val="00AF19B4"/>
    <w:rsid w:val="00AF1C92"/>
    <w:rsid w:val="00AF1DCE"/>
    <w:rsid w:val="00AF29EA"/>
    <w:rsid w:val="00AF2E76"/>
    <w:rsid w:val="00AF5894"/>
    <w:rsid w:val="00AF7517"/>
    <w:rsid w:val="00B017D7"/>
    <w:rsid w:val="00B01E08"/>
    <w:rsid w:val="00B026B9"/>
    <w:rsid w:val="00B026BB"/>
    <w:rsid w:val="00B0292F"/>
    <w:rsid w:val="00B02BD2"/>
    <w:rsid w:val="00B05D98"/>
    <w:rsid w:val="00B06969"/>
    <w:rsid w:val="00B1008F"/>
    <w:rsid w:val="00B109CC"/>
    <w:rsid w:val="00B10B08"/>
    <w:rsid w:val="00B12854"/>
    <w:rsid w:val="00B12949"/>
    <w:rsid w:val="00B14615"/>
    <w:rsid w:val="00B14821"/>
    <w:rsid w:val="00B1530D"/>
    <w:rsid w:val="00B2083A"/>
    <w:rsid w:val="00B217BA"/>
    <w:rsid w:val="00B22DDD"/>
    <w:rsid w:val="00B2372A"/>
    <w:rsid w:val="00B23BEE"/>
    <w:rsid w:val="00B32F8B"/>
    <w:rsid w:val="00B33422"/>
    <w:rsid w:val="00B33B27"/>
    <w:rsid w:val="00B34407"/>
    <w:rsid w:val="00B34E50"/>
    <w:rsid w:val="00B36661"/>
    <w:rsid w:val="00B3796E"/>
    <w:rsid w:val="00B40151"/>
    <w:rsid w:val="00B40799"/>
    <w:rsid w:val="00B43668"/>
    <w:rsid w:val="00B43AB5"/>
    <w:rsid w:val="00B43D93"/>
    <w:rsid w:val="00B45E9B"/>
    <w:rsid w:val="00B45F87"/>
    <w:rsid w:val="00B479AC"/>
    <w:rsid w:val="00B50F7B"/>
    <w:rsid w:val="00B51D31"/>
    <w:rsid w:val="00B52A4B"/>
    <w:rsid w:val="00B5337A"/>
    <w:rsid w:val="00B53607"/>
    <w:rsid w:val="00B53A9E"/>
    <w:rsid w:val="00B54544"/>
    <w:rsid w:val="00B5589E"/>
    <w:rsid w:val="00B5641A"/>
    <w:rsid w:val="00B56D87"/>
    <w:rsid w:val="00B600C8"/>
    <w:rsid w:val="00B60FEE"/>
    <w:rsid w:val="00B61B05"/>
    <w:rsid w:val="00B62EE0"/>
    <w:rsid w:val="00B644F9"/>
    <w:rsid w:val="00B64670"/>
    <w:rsid w:val="00B65E1F"/>
    <w:rsid w:val="00B663DE"/>
    <w:rsid w:val="00B71F5B"/>
    <w:rsid w:val="00B725B1"/>
    <w:rsid w:val="00B77662"/>
    <w:rsid w:val="00B77C98"/>
    <w:rsid w:val="00B80F71"/>
    <w:rsid w:val="00B8155D"/>
    <w:rsid w:val="00B81C3A"/>
    <w:rsid w:val="00B836BE"/>
    <w:rsid w:val="00B85C36"/>
    <w:rsid w:val="00B85EEB"/>
    <w:rsid w:val="00B90344"/>
    <w:rsid w:val="00B909AC"/>
    <w:rsid w:val="00B90A87"/>
    <w:rsid w:val="00B92E0E"/>
    <w:rsid w:val="00B93916"/>
    <w:rsid w:val="00B93C4D"/>
    <w:rsid w:val="00B94189"/>
    <w:rsid w:val="00B9478E"/>
    <w:rsid w:val="00B95AD3"/>
    <w:rsid w:val="00B95DBB"/>
    <w:rsid w:val="00B978D2"/>
    <w:rsid w:val="00B97A43"/>
    <w:rsid w:val="00B97AE6"/>
    <w:rsid w:val="00BA124B"/>
    <w:rsid w:val="00BA1F73"/>
    <w:rsid w:val="00BA2D1B"/>
    <w:rsid w:val="00BA5627"/>
    <w:rsid w:val="00BA5926"/>
    <w:rsid w:val="00BB0A48"/>
    <w:rsid w:val="00BB0B66"/>
    <w:rsid w:val="00BB10EF"/>
    <w:rsid w:val="00BB3045"/>
    <w:rsid w:val="00BB37EC"/>
    <w:rsid w:val="00BB4FF4"/>
    <w:rsid w:val="00BB54B2"/>
    <w:rsid w:val="00BB5C3A"/>
    <w:rsid w:val="00BB7C86"/>
    <w:rsid w:val="00BC06B6"/>
    <w:rsid w:val="00BC09ED"/>
    <w:rsid w:val="00BC0F19"/>
    <w:rsid w:val="00BC2E01"/>
    <w:rsid w:val="00BC3E8E"/>
    <w:rsid w:val="00BD0771"/>
    <w:rsid w:val="00BD0B8B"/>
    <w:rsid w:val="00BD1232"/>
    <w:rsid w:val="00BD125A"/>
    <w:rsid w:val="00BD138A"/>
    <w:rsid w:val="00BD20C8"/>
    <w:rsid w:val="00BD63A0"/>
    <w:rsid w:val="00BD67E4"/>
    <w:rsid w:val="00BD68FF"/>
    <w:rsid w:val="00BD7006"/>
    <w:rsid w:val="00BE1872"/>
    <w:rsid w:val="00BE1E35"/>
    <w:rsid w:val="00BE3207"/>
    <w:rsid w:val="00BE3CFF"/>
    <w:rsid w:val="00BE42FC"/>
    <w:rsid w:val="00BE4992"/>
    <w:rsid w:val="00BE58F0"/>
    <w:rsid w:val="00BE5BC8"/>
    <w:rsid w:val="00BE62F9"/>
    <w:rsid w:val="00BF00DA"/>
    <w:rsid w:val="00BF0AFB"/>
    <w:rsid w:val="00BF0C78"/>
    <w:rsid w:val="00BF2538"/>
    <w:rsid w:val="00BF25AB"/>
    <w:rsid w:val="00BF3014"/>
    <w:rsid w:val="00BF4389"/>
    <w:rsid w:val="00BF4675"/>
    <w:rsid w:val="00BF515A"/>
    <w:rsid w:val="00BF5A57"/>
    <w:rsid w:val="00BF64D4"/>
    <w:rsid w:val="00BF7A2C"/>
    <w:rsid w:val="00C007B0"/>
    <w:rsid w:val="00C010F6"/>
    <w:rsid w:val="00C01841"/>
    <w:rsid w:val="00C02C81"/>
    <w:rsid w:val="00C047AA"/>
    <w:rsid w:val="00C05C3C"/>
    <w:rsid w:val="00C069B0"/>
    <w:rsid w:val="00C06DBB"/>
    <w:rsid w:val="00C07E1E"/>
    <w:rsid w:val="00C106C0"/>
    <w:rsid w:val="00C10864"/>
    <w:rsid w:val="00C11B9A"/>
    <w:rsid w:val="00C120B3"/>
    <w:rsid w:val="00C128F4"/>
    <w:rsid w:val="00C1538A"/>
    <w:rsid w:val="00C1621A"/>
    <w:rsid w:val="00C2018F"/>
    <w:rsid w:val="00C202D8"/>
    <w:rsid w:val="00C234CF"/>
    <w:rsid w:val="00C23D09"/>
    <w:rsid w:val="00C23E48"/>
    <w:rsid w:val="00C2448C"/>
    <w:rsid w:val="00C25B7D"/>
    <w:rsid w:val="00C26A85"/>
    <w:rsid w:val="00C272A0"/>
    <w:rsid w:val="00C27DA4"/>
    <w:rsid w:val="00C30D4A"/>
    <w:rsid w:val="00C32577"/>
    <w:rsid w:val="00C35897"/>
    <w:rsid w:val="00C36305"/>
    <w:rsid w:val="00C36BE4"/>
    <w:rsid w:val="00C373CD"/>
    <w:rsid w:val="00C37E97"/>
    <w:rsid w:val="00C4016C"/>
    <w:rsid w:val="00C40695"/>
    <w:rsid w:val="00C425AA"/>
    <w:rsid w:val="00C42812"/>
    <w:rsid w:val="00C44DC4"/>
    <w:rsid w:val="00C45F0A"/>
    <w:rsid w:val="00C46243"/>
    <w:rsid w:val="00C47159"/>
    <w:rsid w:val="00C4793B"/>
    <w:rsid w:val="00C47C17"/>
    <w:rsid w:val="00C502A9"/>
    <w:rsid w:val="00C51130"/>
    <w:rsid w:val="00C51DB0"/>
    <w:rsid w:val="00C53355"/>
    <w:rsid w:val="00C533FE"/>
    <w:rsid w:val="00C5438B"/>
    <w:rsid w:val="00C56496"/>
    <w:rsid w:val="00C571D5"/>
    <w:rsid w:val="00C579E0"/>
    <w:rsid w:val="00C57E43"/>
    <w:rsid w:val="00C612F3"/>
    <w:rsid w:val="00C628A4"/>
    <w:rsid w:val="00C63134"/>
    <w:rsid w:val="00C63856"/>
    <w:rsid w:val="00C66074"/>
    <w:rsid w:val="00C667F6"/>
    <w:rsid w:val="00C66F43"/>
    <w:rsid w:val="00C67815"/>
    <w:rsid w:val="00C702D0"/>
    <w:rsid w:val="00C70C54"/>
    <w:rsid w:val="00C70CD2"/>
    <w:rsid w:val="00C710EA"/>
    <w:rsid w:val="00C72740"/>
    <w:rsid w:val="00C74908"/>
    <w:rsid w:val="00C74B16"/>
    <w:rsid w:val="00C751D3"/>
    <w:rsid w:val="00C75BEE"/>
    <w:rsid w:val="00C766F1"/>
    <w:rsid w:val="00C76FF7"/>
    <w:rsid w:val="00C802F3"/>
    <w:rsid w:val="00C827DA"/>
    <w:rsid w:val="00C832BE"/>
    <w:rsid w:val="00C8369C"/>
    <w:rsid w:val="00C84041"/>
    <w:rsid w:val="00C84DD8"/>
    <w:rsid w:val="00C86CB6"/>
    <w:rsid w:val="00C8798A"/>
    <w:rsid w:val="00C907B8"/>
    <w:rsid w:val="00C910D9"/>
    <w:rsid w:val="00C917DC"/>
    <w:rsid w:val="00CA06D0"/>
    <w:rsid w:val="00CA1211"/>
    <w:rsid w:val="00CA1A16"/>
    <w:rsid w:val="00CA5F3F"/>
    <w:rsid w:val="00CB21E9"/>
    <w:rsid w:val="00CB4AB3"/>
    <w:rsid w:val="00CB4C84"/>
    <w:rsid w:val="00CB6993"/>
    <w:rsid w:val="00CB6ED9"/>
    <w:rsid w:val="00CB7966"/>
    <w:rsid w:val="00CC0DED"/>
    <w:rsid w:val="00CC237B"/>
    <w:rsid w:val="00CC36CE"/>
    <w:rsid w:val="00CC36EA"/>
    <w:rsid w:val="00CC4939"/>
    <w:rsid w:val="00CC57F1"/>
    <w:rsid w:val="00CC6284"/>
    <w:rsid w:val="00CC6395"/>
    <w:rsid w:val="00CD0DA6"/>
    <w:rsid w:val="00CD2843"/>
    <w:rsid w:val="00CD3D41"/>
    <w:rsid w:val="00CD3DF3"/>
    <w:rsid w:val="00CD62C8"/>
    <w:rsid w:val="00CD6640"/>
    <w:rsid w:val="00CD6DB1"/>
    <w:rsid w:val="00CD79AA"/>
    <w:rsid w:val="00CE308E"/>
    <w:rsid w:val="00CE311B"/>
    <w:rsid w:val="00CE4904"/>
    <w:rsid w:val="00CF2F50"/>
    <w:rsid w:val="00CF3494"/>
    <w:rsid w:val="00CF4FCE"/>
    <w:rsid w:val="00CF5568"/>
    <w:rsid w:val="00CF7091"/>
    <w:rsid w:val="00D00C91"/>
    <w:rsid w:val="00D01FDB"/>
    <w:rsid w:val="00D02DB1"/>
    <w:rsid w:val="00D05DEF"/>
    <w:rsid w:val="00D06387"/>
    <w:rsid w:val="00D13965"/>
    <w:rsid w:val="00D13B92"/>
    <w:rsid w:val="00D15367"/>
    <w:rsid w:val="00D17145"/>
    <w:rsid w:val="00D176E9"/>
    <w:rsid w:val="00D215FB"/>
    <w:rsid w:val="00D2160B"/>
    <w:rsid w:val="00D220BB"/>
    <w:rsid w:val="00D2383F"/>
    <w:rsid w:val="00D2425A"/>
    <w:rsid w:val="00D251C6"/>
    <w:rsid w:val="00D264E5"/>
    <w:rsid w:val="00D2663F"/>
    <w:rsid w:val="00D27F07"/>
    <w:rsid w:val="00D31D7F"/>
    <w:rsid w:val="00D31F19"/>
    <w:rsid w:val="00D335EA"/>
    <w:rsid w:val="00D33D6D"/>
    <w:rsid w:val="00D36DAF"/>
    <w:rsid w:val="00D3711D"/>
    <w:rsid w:val="00D3750E"/>
    <w:rsid w:val="00D40FB7"/>
    <w:rsid w:val="00D415FE"/>
    <w:rsid w:val="00D43A2A"/>
    <w:rsid w:val="00D445F5"/>
    <w:rsid w:val="00D479B9"/>
    <w:rsid w:val="00D5027A"/>
    <w:rsid w:val="00D503A6"/>
    <w:rsid w:val="00D51089"/>
    <w:rsid w:val="00D52A75"/>
    <w:rsid w:val="00D53AB1"/>
    <w:rsid w:val="00D56A3A"/>
    <w:rsid w:val="00D6055A"/>
    <w:rsid w:val="00D612B0"/>
    <w:rsid w:val="00D62F4C"/>
    <w:rsid w:val="00D64794"/>
    <w:rsid w:val="00D64A07"/>
    <w:rsid w:val="00D65045"/>
    <w:rsid w:val="00D65B86"/>
    <w:rsid w:val="00D6797D"/>
    <w:rsid w:val="00D703C0"/>
    <w:rsid w:val="00D70523"/>
    <w:rsid w:val="00D71FEC"/>
    <w:rsid w:val="00D72853"/>
    <w:rsid w:val="00D74557"/>
    <w:rsid w:val="00D75047"/>
    <w:rsid w:val="00D7559F"/>
    <w:rsid w:val="00D77B84"/>
    <w:rsid w:val="00D80749"/>
    <w:rsid w:val="00D807B3"/>
    <w:rsid w:val="00D817EE"/>
    <w:rsid w:val="00D82108"/>
    <w:rsid w:val="00D86974"/>
    <w:rsid w:val="00D8707F"/>
    <w:rsid w:val="00D90885"/>
    <w:rsid w:val="00D90C81"/>
    <w:rsid w:val="00D94AEB"/>
    <w:rsid w:val="00D951F7"/>
    <w:rsid w:val="00D95B75"/>
    <w:rsid w:val="00DA074C"/>
    <w:rsid w:val="00DA0CBA"/>
    <w:rsid w:val="00DA16AB"/>
    <w:rsid w:val="00DA2626"/>
    <w:rsid w:val="00DA3214"/>
    <w:rsid w:val="00DA3234"/>
    <w:rsid w:val="00DA3682"/>
    <w:rsid w:val="00DA5F0A"/>
    <w:rsid w:val="00DB1E17"/>
    <w:rsid w:val="00DB2813"/>
    <w:rsid w:val="00DB5E1C"/>
    <w:rsid w:val="00DB7E93"/>
    <w:rsid w:val="00DC05F0"/>
    <w:rsid w:val="00DC0D48"/>
    <w:rsid w:val="00DC0E8B"/>
    <w:rsid w:val="00DC125F"/>
    <w:rsid w:val="00DC1278"/>
    <w:rsid w:val="00DC19C7"/>
    <w:rsid w:val="00DC1E33"/>
    <w:rsid w:val="00DC1FD2"/>
    <w:rsid w:val="00DC2815"/>
    <w:rsid w:val="00DC28F0"/>
    <w:rsid w:val="00DC2A82"/>
    <w:rsid w:val="00DC3330"/>
    <w:rsid w:val="00DC3F4A"/>
    <w:rsid w:val="00DC58E5"/>
    <w:rsid w:val="00DC6E05"/>
    <w:rsid w:val="00DD0BFB"/>
    <w:rsid w:val="00DD1592"/>
    <w:rsid w:val="00DD21A2"/>
    <w:rsid w:val="00DD41E3"/>
    <w:rsid w:val="00DD42DD"/>
    <w:rsid w:val="00DD4ECC"/>
    <w:rsid w:val="00DE027F"/>
    <w:rsid w:val="00DE121F"/>
    <w:rsid w:val="00DE1EAD"/>
    <w:rsid w:val="00DE22EC"/>
    <w:rsid w:val="00DE2D2C"/>
    <w:rsid w:val="00DE3DB3"/>
    <w:rsid w:val="00DE45C5"/>
    <w:rsid w:val="00DE5955"/>
    <w:rsid w:val="00DE6373"/>
    <w:rsid w:val="00DF1C37"/>
    <w:rsid w:val="00DF25DB"/>
    <w:rsid w:val="00DF28F3"/>
    <w:rsid w:val="00DF3560"/>
    <w:rsid w:val="00DF6434"/>
    <w:rsid w:val="00DF7084"/>
    <w:rsid w:val="00DF7682"/>
    <w:rsid w:val="00E00D52"/>
    <w:rsid w:val="00E01A7A"/>
    <w:rsid w:val="00E0244A"/>
    <w:rsid w:val="00E02BD9"/>
    <w:rsid w:val="00E03A3C"/>
    <w:rsid w:val="00E04CF0"/>
    <w:rsid w:val="00E04DA2"/>
    <w:rsid w:val="00E05C1A"/>
    <w:rsid w:val="00E0654A"/>
    <w:rsid w:val="00E06EC3"/>
    <w:rsid w:val="00E1017D"/>
    <w:rsid w:val="00E1280E"/>
    <w:rsid w:val="00E12D37"/>
    <w:rsid w:val="00E15BD7"/>
    <w:rsid w:val="00E16D0B"/>
    <w:rsid w:val="00E20230"/>
    <w:rsid w:val="00E204B7"/>
    <w:rsid w:val="00E205BD"/>
    <w:rsid w:val="00E206A0"/>
    <w:rsid w:val="00E20705"/>
    <w:rsid w:val="00E21434"/>
    <w:rsid w:val="00E22299"/>
    <w:rsid w:val="00E22702"/>
    <w:rsid w:val="00E22C42"/>
    <w:rsid w:val="00E22F99"/>
    <w:rsid w:val="00E230D1"/>
    <w:rsid w:val="00E2529A"/>
    <w:rsid w:val="00E26943"/>
    <w:rsid w:val="00E27410"/>
    <w:rsid w:val="00E33B77"/>
    <w:rsid w:val="00E347A3"/>
    <w:rsid w:val="00E34B11"/>
    <w:rsid w:val="00E35EBF"/>
    <w:rsid w:val="00E36D33"/>
    <w:rsid w:val="00E37567"/>
    <w:rsid w:val="00E37C62"/>
    <w:rsid w:val="00E405FA"/>
    <w:rsid w:val="00E41214"/>
    <w:rsid w:val="00E42157"/>
    <w:rsid w:val="00E425F6"/>
    <w:rsid w:val="00E4273E"/>
    <w:rsid w:val="00E42CEF"/>
    <w:rsid w:val="00E42F85"/>
    <w:rsid w:val="00E449CB"/>
    <w:rsid w:val="00E44D1B"/>
    <w:rsid w:val="00E44F88"/>
    <w:rsid w:val="00E450ED"/>
    <w:rsid w:val="00E459FF"/>
    <w:rsid w:val="00E45AD2"/>
    <w:rsid w:val="00E46B66"/>
    <w:rsid w:val="00E4729F"/>
    <w:rsid w:val="00E478AD"/>
    <w:rsid w:val="00E47FD0"/>
    <w:rsid w:val="00E51F7D"/>
    <w:rsid w:val="00E52502"/>
    <w:rsid w:val="00E558E5"/>
    <w:rsid w:val="00E55F1D"/>
    <w:rsid w:val="00E566D1"/>
    <w:rsid w:val="00E57510"/>
    <w:rsid w:val="00E57942"/>
    <w:rsid w:val="00E608AA"/>
    <w:rsid w:val="00E61F91"/>
    <w:rsid w:val="00E621D7"/>
    <w:rsid w:val="00E62665"/>
    <w:rsid w:val="00E6268A"/>
    <w:rsid w:val="00E62C4F"/>
    <w:rsid w:val="00E62C61"/>
    <w:rsid w:val="00E63B38"/>
    <w:rsid w:val="00E64B84"/>
    <w:rsid w:val="00E65D8B"/>
    <w:rsid w:val="00E6666C"/>
    <w:rsid w:val="00E67570"/>
    <w:rsid w:val="00E71F45"/>
    <w:rsid w:val="00E72DE9"/>
    <w:rsid w:val="00E7366A"/>
    <w:rsid w:val="00E7481B"/>
    <w:rsid w:val="00E754FA"/>
    <w:rsid w:val="00E7560E"/>
    <w:rsid w:val="00E75633"/>
    <w:rsid w:val="00E767E0"/>
    <w:rsid w:val="00E77219"/>
    <w:rsid w:val="00E809DB"/>
    <w:rsid w:val="00E80A79"/>
    <w:rsid w:val="00E814AC"/>
    <w:rsid w:val="00E82FAE"/>
    <w:rsid w:val="00E83D09"/>
    <w:rsid w:val="00E84A36"/>
    <w:rsid w:val="00E84B5D"/>
    <w:rsid w:val="00E84E2D"/>
    <w:rsid w:val="00E8538A"/>
    <w:rsid w:val="00E91D3C"/>
    <w:rsid w:val="00E91D92"/>
    <w:rsid w:val="00E9205A"/>
    <w:rsid w:val="00E9399F"/>
    <w:rsid w:val="00E94105"/>
    <w:rsid w:val="00E94C2C"/>
    <w:rsid w:val="00E95E86"/>
    <w:rsid w:val="00E97B9D"/>
    <w:rsid w:val="00EA110D"/>
    <w:rsid w:val="00EA1834"/>
    <w:rsid w:val="00EA2FE1"/>
    <w:rsid w:val="00EA324B"/>
    <w:rsid w:val="00EA46B1"/>
    <w:rsid w:val="00EA6FF5"/>
    <w:rsid w:val="00EA7844"/>
    <w:rsid w:val="00EB06C4"/>
    <w:rsid w:val="00EB157C"/>
    <w:rsid w:val="00EB415A"/>
    <w:rsid w:val="00EB707F"/>
    <w:rsid w:val="00EC1629"/>
    <w:rsid w:val="00EC1F90"/>
    <w:rsid w:val="00EC2BEC"/>
    <w:rsid w:val="00EC2BF6"/>
    <w:rsid w:val="00EC56EF"/>
    <w:rsid w:val="00EC6B7F"/>
    <w:rsid w:val="00EC7E9E"/>
    <w:rsid w:val="00EC7F0E"/>
    <w:rsid w:val="00ED0C46"/>
    <w:rsid w:val="00ED1082"/>
    <w:rsid w:val="00ED3FFF"/>
    <w:rsid w:val="00ED45FE"/>
    <w:rsid w:val="00ED4DC0"/>
    <w:rsid w:val="00ED590B"/>
    <w:rsid w:val="00EE068C"/>
    <w:rsid w:val="00EE0BBE"/>
    <w:rsid w:val="00EE0C4D"/>
    <w:rsid w:val="00EE15D4"/>
    <w:rsid w:val="00EE18E4"/>
    <w:rsid w:val="00EE1962"/>
    <w:rsid w:val="00EE2433"/>
    <w:rsid w:val="00EE32CF"/>
    <w:rsid w:val="00EE3DF3"/>
    <w:rsid w:val="00EE6355"/>
    <w:rsid w:val="00EE63C1"/>
    <w:rsid w:val="00EE7447"/>
    <w:rsid w:val="00EE786D"/>
    <w:rsid w:val="00EF03D8"/>
    <w:rsid w:val="00EF0DCD"/>
    <w:rsid w:val="00EF2C09"/>
    <w:rsid w:val="00EF3848"/>
    <w:rsid w:val="00EF3C7E"/>
    <w:rsid w:val="00EF3CE7"/>
    <w:rsid w:val="00EF5A5A"/>
    <w:rsid w:val="00EF6625"/>
    <w:rsid w:val="00EF67C4"/>
    <w:rsid w:val="00EF6BFB"/>
    <w:rsid w:val="00EF757E"/>
    <w:rsid w:val="00EF7D46"/>
    <w:rsid w:val="00EF7E2F"/>
    <w:rsid w:val="00F005D8"/>
    <w:rsid w:val="00F02A5B"/>
    <w:rsid w:val="00F02D25"/>
    <w:rsid w:val="00F039AF"/>
    <w:rsid w:val="00F06AA6"/>
    <w:rsid w:val="00F06C4C"/>
    <w:rsid w:val="00F1005F"/>
    <w:rsid w:val="00F100B2"/>
    <w:rsid w:val="00F1077E"/>
    <w:rsid w:val="00F116D5"/>
    <w:rsid w:val="00F11F94"/>
    <w:rsid w:val="00F1276A"/>
    <w:rsid w:val="00F12AF5"/>
    <w:rsid w:val="00F1431F"/>
    <w:rsid w:val="00F1495A"/>
    <w:rsid w:val="00F21945"/>
    <w:rsid w:val="00F22DF9"/>
    <w:rsid w:val="00F23F24"/>
    <w:rsid w:val="00F23F93"/>
    <w:rsid w:val="00F2754C"/>
    <w:rsid w:val="00F30918"/>
    <w:rsid w:val="00F31F6F"/>
    <w:rsid w:val="00F320B6"/>
    <w:rsid w:val="00F327BB"/>
    <w:rsid w:val="00F32D89"/>
    <w:rsid w:val="00F3312A"/>
    <w:rsid w:val="00F349B8"/>
    <w:rsid w:val="00F352F7"/>
    <w:rsid w:val="00F36961"/>
    <w:rsid w:val="00F405E3"/>
    <w:rsid w:val="00F419DE"/>
    <w:rsid w:val="00F421CB"/>
    <w:rsid w:val="00F426EF"/>
    <w:rsid w:val="00F427CE"/>
    <w:rsid w:val="00F434FD"/>
    <w:rsid w:val="00F44213"/>
    <w:rsid w:val="00F44706"/>
    <w:rsid w:val="00F4539F"/>
    <w:rsid w:val="00F47B4B"/>
    <w:rsid w:val="00F5029C"/>
    <w:rsid w:val="00F515D7"/>
    <w:rsid w:val="00F5237F"/>
    <w:rsid w:val="00F52CE6"/>
    <w:rsid w:val="00F53548"/>
    <w:rsid w:val="00F54560"/>
    <w:rsid w:val="00F56F87"/>
    <w:rsid w:val="00F57582"/>
    <w:rsid w:val="00F6118C"/>
    <w:rsid w:val="00F6273C"/>
    <w:rsid w:val="00F62996"/>
    <w:rsid w:val="00F633FD"/>
    <w:rsid w:val="00F63ED7"/>
    <w:rsid w:val="00F64FDD"/>
    <w:rsid w:val="00F651C6"/>
    <w:rsid w:val="00F67EC6"/>
    <w:rsid w:val="00F70A89"/>
    <w:rsid w:val="00F7108D"/>
    <w:rsid w:val="00F7198D"/>
    <w:rsid w:val="00F72386"/>
    <w:rsid w:val="00F73216"/>
    <w:rsid w:val="00F76796"/>
    <w:rsid w:val="00F817CF"/>
    <w:rsid w:val="00F83227"/>
    <w:rsid w:val="00F84E8F"/>
    <w:rsid w:val="00F85BD7"/>
    <w:rsid w:val="00F90257"/>
    <w:rsid w:val="00F90C09"/>
    <w:rsid w:val="00F90DF3"/>
    <w:rsid w:val="00F9241B"/>
    <w:rsid w:val="00F95047"/>
    <w:rsid w:val="00F96577"/>
    <w:rsid w:val="00F96856"/>
    <w:rsid w:val="00F96F1E"/>
    <w:rsid w:val="00FA0EAA"/>
    <w:rsid w:val="00FA2C5C"/>
    <w:rsid w:val="00FA3068"/>
    <w:rsid w:val="00FA35E5"/>
    <w:rsid w:val="00FA37EA"/>
    <w:rsid w:val="00FA4114"/>
    <w:rsid w:val="00FA4897"/>
    <w:rsid w:val="00FA5A02"/>
    <w:rsid w:val="00FA5AF2"/>
    <w:rsid w:val="00FA69AE"/>
    <w:rsid w:val="00FA6A70"/>
    <w:rsid w:val="00FB0832"/>
    <w:rsid w:val="00FB1C9A"/>
    <w:rsid w:val="00FB1D17"/>
    <w:rsid w:val="00FB26AB"/>
    <w:rsid w:val="00FB3A60"/>
    <w:rsid w:val="00FB49D6"/>
    <w:rsid w:val="00FB5A85"/>
    <w:rsid w:val="00FB61BB"/>
    <w:rsid w:val="00FB6562"/>
    <w:rsid w:val="00FB687E"/>
    <w:rsid w:val="00FB7E5F"/>
    <w:rsid w:val="00FC0176"/>
    <w:rsid w:val="00FC1139"/>
    <w:rsid w:val="00FC1452"/>
    <w:rsid w:val="00FC38C5"/>
    <w:rsid w:val="00FC4E39"/>
    <w:rsid w:val="00FC604F"/>
    <w:rsid w:val="00FD1E1B"/>
    <w:rsid w:val="00FD3BFD"/>
    <w:rsid w:val="00FD4DB7"/>
    <w:rsid w:val="00FD4E8C"/>
    <w:rsid w:val="00FD5515"/>
    <w:rsid w:val="00FD62D7"/>
    <w:rsid w:val="00FD630E"/>
    <w:rsid w:val="00FD78A0"/>
    <w:rsid w:val="00FE0295"/>
    <w:rsid w:val="00FE2070"/>
    <w:rsid w:val="00FE23B1"/>
    <w:rsid w:val="00FE2494"/>
    <w:rsid w:val="00FE4A0A"/>
    <w:rsid w:val="00FE565A"/>
    <w:rsid w:val="00FE5B93"/>
    <w:rsid w:val="00FE67C2"/>
    <w:rsid w:val="00FE6F85"/>
    <w:rsid w:val="00FF0EA1"/>
    <w:rsid w:val="00FF1A07"/>
    <w:rsid w:val="00FF2F31"/>
    <w:rsid w:val="00FF36A2"/>
    <w:rsid w:val="00FF3EE7"/>
    <w:rsid w:val="00FF5F50"/>
    <w:rsid w:val="00FF6465"/>
    <w:rsid w:val="02E6A762"/>
    <w:rsid w:val="02F08DE2"/>
    <w:rsid w:val="0361F3D7"/>
    <w:rsid w:val="0368A57E"/>
    <w:rsid w:val="03C2D039"/>
    <w:rsid w:val="0490AD89"/>
    <w:rsid w:val="04F38CAC"/>
    <w:rsid w:val="050BF79E"/>
    <w:rsid w:val="05123029"/>
    <w:rsid w:val="05489A9E"/>
    <w:rsid w:val="05A6EBDE"/>
    <w:rsid w:val="066E5E94"/>
    <w:rsid w:val="06A7A003"/>
    <w:rsid w:val="06D9F6EC"/>
    <w:rsid w:val="07461C5B"/>
    <w:rsid w:val="07BC0991"/>
    <w:rsid w:val="08D3C834"/>
    <w:rsid w:val="08E356C1"/>
    <w:rsid w:val="09B2EE08"/>
    <w:rsid w:val="0A917CC5"/>
    <w:rsid w:val="0B62A8F1"/>
    <w:rsid w:val="0C4D186D"/>
    <w:rsid w:val="0D00B58D"/>
    <w:rsid w:val="0E4247A3"/>
    <w:rsid w:val="0F19427B"/>
    <w:rsid w:val="10273BAA"/>
    <w:rsid w:val="10613F7C"/>
    <w:rsid w:val="107AA749"/>
    <w:rsid w:val="10FD2473"/>
    <w:rsid w:val="11020BA1"/>
    <w:rsid w:val="11A83DE7"/>
    <w:rsid w:val="11DA4E4D"/>
    <w:rsid w:val="1206E35F"/>
    <w:rsid w:val="1254799E"/>
    <w:rsid w:val="1484B80C"/>
    <w:rsid w:val="14BA570C"/>
    <w:rsid w:val="163796D1"/>
    <w:rsid w:val="1670169D"/>
    <w:rsid w:val="16970666"/>
    <w:rsid w:val="19635A13"/>
    <w:rsid w:val="199399DB"/>
    <w:rsid w:val="1A5D89C1"/>
    <w:rsid w:val="1B0B434B"/>
    <w:rsid w:val="1B4AFB7F"/>
    <w:rsid w:val="1B9B6C2F"/>
    <w:rsid w:val="1BAAB238"/>
    <w:rsid w:val="1BBFF306"/>
    <w:rsid w:val="1C6A9AA7"/>
    <w:rsid w:val="1CA27A33"/>
    <w:rsid w:val="1DA86E51"/>
    <w:rsid w:val="1DFECD75"/>
    <w:rsid w:val="1E27447D"/>
    <w:rsid w:val="1FC06AE8"/>
    <w:rsid w:val="1FE68C38"/>
    <w:rsid w:val="1FEAE43B"/>
    <w:rsid w:val="207A0BF9"/>
    <w:rsid w:val="20CDEF5E"/>
    <w:rsid w:val="210D7920"/>
    <w:rsid w:val="212B5318"/>
    <w:rsid w:val="21789EF4"/>
    <w:rsid w:val="21F5273C"/>
    <w:rsid w:val="22F3CEE5"/>
    <w:rsid w:val="23627ED7"/>
    <w:rsid w:val="252A5AE3"/>
    <w:rsid w:val="269D4BDF"/>
    <w:rsid w:val="273995EC"/>
    <w:rsid w:val="27CC4457"/>
    <w:rsid w:val="27F0A7A4"/>
    <w:rsid w:val="29E9844A"/>
    <w:rsid w:val="2CEED350"/>
    <w:rsid w:val="2E5D69F6"/>
    <w:rsid w:val="2EC62D9F"/>
    <w:rsid w:val="2EFD52C6"/>
    <w:rsid w:val="2F0DB5BB"/>
    <w:rsid w:val="308B1B5D"/>
    <w:rsid w:val="30E319F7"/>
    <w:rsid w:val="30EC69E1"/>
    <w:rsid w:val="317345BB"/>
    <w:rsid w:val="327C6C89"/>
    <w:rsid w:val="32922179"/>
    <w:rsid w:val="3371136A"/>
    <w:rsid w:val="338ECF84"/>
    <w:rsid w:val="35F32BB6"/>
    <w:rsid w:val="361F5903"/>
    <w:rsid w:val="3696AF46"/>
    <w:rsid w:val="3799BAFF"/>
    <w:rsid w:val="38245EAE"/>
    <w:rsid w:val="386ADBF2"/>
    <w:rsid w:val="38D48E2C"/>
    <w:rsid w:val="39B0F398"/>
    <w:rsid w:val="3A47A0B3"/>
    <w:rsid w:val="3B3D04E1"/>
    <w:rsid w:val="3BE8CE58"/>
    <w:rsid w:val="3C107065"/>
    <w:rsid w:val="3D285EC9"/>
    <w:rsid w:val="3D84F3EF"/>
    <w:rsid w:val="3D84F76F"/>
    <w:rsid w:val="3D8AB970"/>
    <w:rsid w:val="3E4B24AC"/>
    <w:rsid w:val="3E6B6DC3"/>
    <w:rsid w:val="3E9B6FAB"/>
    <w:rsid w:val="3F09FE5A"/>
    <w:rsid w:val="3F269E72"/>
    <w:rsid w:val="3FE33832"/>
    <w:rsid w:val="404713FD"/>
    <w:rsid w:val="40E754BD"/>
    <w:rsid w:val="40F5761E"/>
    <w:rsid w:val="4111900A"/>
    <w:rsid w:val="41845712"/>
    <w:rsid w:val="425294B7"/>
    <w:rsid w:val="426EA978"/>
    <w:rsid w:val="42894566"/>
    <w:rsid w:val="44479168"/>
    <w:rsid w:val="44588474"/>
    <w:rsid w:val="451B0BF8"/>
    <w:rsid w:val="45209D4E"/>
    <w:rsid w:val="45306C12"/>
    <w:rsid w:val="45618AEA"/>
    <w:rsid w:val="45F28DAA"/>
    <w:rsid w:val="47EB2685"/>
    <w:rsid w:val="487F85F0"/>
    <w:rsid w:val="48E1159B"/>
    <w:rsid w:val="4907FDDE"/>
    <w:rsid w:val="491EA2BB"/>
    <w:rsid w:val="492EC1B5"/>
    <w:rsid w:val="49C1EC18"/>
    <w:rsid w:val="4A27FE0E"/>
    <w:rsid w:val="4A4124E5"/>
    <w:rsid w:val="4A8F1724"/>
    <w:rsid w:val="4B53C15C"/>
    <w:rsid w:val="4BAAB817"/>
    <w:rsid w:val="4BE0B36F"/>
    <w:rsid w:val="4C6957B6"/>
    <w:rsid w:val="4D2AB072"/>
    <w:rsid w:val="4D6145D9"/>
    <w:rsid w:val="4E17F5EB"/>
    <w:rsid w:val="4E1FC464"/>
    <w:rsid w:val="4E59EBE9"/>
    <w:rsid w:val="4F16CAAB"/>
    <w:rsid w:val="4F5747B5"/>
    <w:rsid w:val="504132E6"/>
    <w:rsid w:val="5050A365"/>
    <w:rsid w:val="508D786E"/>
    <w:rsid w:val="513EC74A"/>
    <w:rsid w:val="51770B2D"/>
    <w:rsid w:val="518579FD"/>
    <w:rsid w:val="5185F712"/>
    <w:rsid w:val="51A22C21"/>
    <w:rsid w:val="520820C6"/>
    <w:rsid w:val="52F9E38E"/>
    <w:rsid w:val="53DD8DD5"/>
    <w:rsid w:val="5449A9D0"/>
    <w:rsid w:val="557592B4"/>
    <w:rsid w:val="5600E0D4"/>
    <w:rsid w:val="5698EB1C"/>
    <w:rsid w:val="5765ECD5"/>
    <w:rsid w:val="5808C664"/>
    <w:rsid w:val="58A332E5"/>
    <w:rsid w:val="59AAF474"/>
    <w:rsid w:val="5A0A8F14"/>
    <w:rsid w:val="5AA55F9B"/>
    <w:rsid w:val="5B740044"/>
    <w:rsid w:val="5B9C6E62"/>
    <w:rsid w:val="5C5EBCA3"/>
    <w:rsid w:val="5D094D7C"/>
    <w:rsid w:val="5D4AAC3E"/>
    <w:rsid w:val="5DA01A46"/>
    <w:rsid w:val="5DBB3A5A"/>
    <w:rsid w:val="5DC7EC8D"/>
    <w:rsid w:val="5F28DC25"/>
    <w:rsid w:val="5F34529B"/>
    <w:rsid w:val="5F50F1BB"/>
    <w:rsid w:val="5FED8B1B"/>
    <w:rsid w:val="6008478A"/>
    <w:rsid w:val="60745D92"/>
    <w:rsid w:val="608DB9B0"/>
    <w:rsid w:val="61929D2F"/>
    <w:rsid w:val="621F81FE"/>
    <w:rsid w:val="623322B2"/>
    <w:rsid w:val="6249F846"/>
    <w:rsid w:val="62AB99E4"/>
    <w:rsid w:val="62B196EA"/>
    <w:rsid w:val="632EC557"/>
    <w:rsid w:val="63822FF4"/>
    <w:rsid w:val="63C0D86F"/>
    <w:rsid w:val="63DDF727"/>
    <w:rsid w:val="63EDF36E"/>
    <w:rsid w:val="6480F508"/>
    <w:rsid w:val="64A8B600"/>
    <w:rsid w:val="653B1852"/>
    <w:rsid w:val="6546C3DA"/>
    <w:rsid w:val="65713C49"/>
    <w:rsid w:val="65F7010E"/>
    <w:rsid w:val="67CC52BF"/>
    <w:rsid w:val="6865904D"/>
    <w:rsid w:val="687571B7"/>
    <w:rsid w:val="68CB60C3"/>
    <w:rsid w:val="6A00FC0D"/>
    <w:rsid w:val="6A2AA233"/>
    <w:rsid w:val="6AB08253"/>
    <w:rsid w:val="6B2EBA89"/>
    <w:rsid w:val="6B345E0E"/>
    <w:rsid w:val="6B57C49F"/>
    <w:rsid w:val="6BC6755C"/>
    <w:rsid w:val="6BE1260B"/>
    <w:rsid w:val="6BEA2AB6"/>
    <w:rsid w:val="6DFD7B8A"/>
    <w:rsid w:val="6EEEEB53"/>
    <w:rsid w:val="6EF632D2"/>
    <w:rsid w:val="6FA076DF"/>
    <w:rsid w:val="6FF9FB4A"/>
    <w:rsid w:val="7129DDF2"/>
    <w:rsid w:val="71E2BE50"/>
    <w:rsid w:val="72006765"/>
    <w:rsid w:val="72642B9C"/>
    <w:rsid w:val="72A55ACF"/>
    <w:rsid w:val="72D2FDA7"/>
    <w:rsid w:val="7352BB44"/>
    <w:rsid w:val="73BE7B04"/>
    <w:rsid w:val="747458F2"/>
    <w:rsid w:val="74BA8BE9"/>
    <w:rsid w:val="750A1758"/>
    <w:rsid w:val="75B47606"/>
    <w:rsid w:val="760792B1"/>
    <w:rsid w:val="7644BBCE"/>
    <w:rsid w:val="770A43D8"/>
    <w:rsid w:val="77342375"/>
    <w:rsid w:val="77A31B91"/>
    <w:rsid w:val="7813AD08"/>
    <w:rsid w:val="78BFF4F0"/>
    <w:rsid w:val="7919B5F3"/>
    <w:rsid w:val="7926467B"/>
    <w:rsid w:val="79DF52E6"/>
    <w:rsid w:val="79FC9CE4"/>
    <w:rsid w:val="7A0BE394"/>
    <w:rsid w:val="7AB128C1"/>
    <w:rsid w:val="7AC8657F"/>
    <w:rsid w:val="7B05D7EB"/>
    <w:rsid w:val="7B26A333"/>
    <w:rsid w:val="7BA69E3C"/>
    <w:rsid w:val="7C156DB8"/>
    <w:rsid w:val="7C4551F3"/>
    <w:rsid w:val="7C4A52C8"/>
    <w:rsid w:val="7CAB5968"/>
    <w:rsid w:val="7F374128"/>
    <w:rsid w:val="7F95B46C"/>
    <w:rsid w:val="7F9992DE"/>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A3AF"/>
  <w15:chartTrackingRefBased/>
  <w15:docId w15:val="{3484F61D-E428-46E8-B1CD-BC412558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1B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B39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7E9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029"/>
    <w:rPr>
      <w:color w:val="0000FF"/>
      <w:u w:val="single"/>
    </w:rPr>
  </w:style>
  <w:style w:type="paragraph" w:styleId="Header">
    <w:name w:val="header"/>
    <w:basedOn w:val="Normal"/>
    <w:link w:val="HeaderChar"/>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rsid w:val="003D2029"/>
  </w:style>
  <w:style w:type="paragraph" w:styleId="Footer">
    <w:name w:val="footer"/>
    <w:basedOn w:val="Normal"/>
    <w:link w:val="FooterChar"/>
    <w:uiPriority w:val="99"/>
    <w:unhideWhenUsed/>
    <w:rsid w:val="003D2029"/>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3D2029"/>
  </w:style>
  <w:style w:type="paragraph" w:styleId="NoSpacing">
    <w:name w:val="No Spacing"/>
    <w:link w:val="NoSpacingChar"/>
    <w:uiPriority w:val="1"/>
    <w:qFormat/>
    <w:rsid w:val="003D2029"/>
    <w:pPr>
      <w:spacing w:after="0" w:line="240" w:lineRule="auto"/>
    </w:pPr>
  </w:style>
  <w:style w:type="character" w:customStyle="1" w:styleId="NoSpacingChar">
    <w:name w:val="No Spacing Char"/>
    <w:basedOn w:val="DefaultParagraphFont"/>
    <w:link w:val="NoSpacing"/>
    <w:uiPriority w:val="1"/>
    <w:locked/>
    <w:rsid w:val="003D2029"/>
  </w:style>
  <w:style w:type="character" w:customStyle="1" w:styleId="s1">
    <w:name w:val="s1"/>
    <w:basedOn w:val="DefaultParagraphFont"/>
    <w:rsid w:val="003D2029"/>
  </w:style>
  <w:style w:type="character" w:styleId="CommentReference">
    <w:name w:val="annotation reference"/>
    <w:basedOn w:val="DefaultParagraphFont"/>
    <w:uiPriority w:val="99"/>
    <w:semiHidden/>
    <w:unhideWhenUsed/>
    <w:rsid w:val="00995E37"/>
    <w:rPr>
      <w:sz w:val="16"/>
      <w:szCs w:val="16"/>
    </w:rPr>
  </w:style>
  <w:style w:type="paragraph" w:styleId="CommentText">
    <w:name w:val="annotation text"/>
    <w:basedOn w:val="Normal"/>
    <w:link w:val="CommentTextChar"/>
    <w:uiPriority w:val="99"/>
    <w:unhideWhenUsed/>
    <w:rsid w:val="00995E37"/>
    <w:rPr>
      <w:rFonts w:ascii="Calibri" w:eastAsiaTheme="minorHAnsi" w:hAnsi="Calibri" w:cs="Calibri"/>
      <w:sz w:val="20"/>
      <w:szCs w:val="20"/>
      <w:lang w:val="en-IN"/>
    </w:rPr>
  </w:style>
  <w:style w:type="character" w:customStyle="1" w:styleId="CommentTextChar">
    <w:name w:val="Comment Text Char"/>
    <w:basedOn w:val="DefaultParagraphFont"/>
    <w:link w:val="CommentText"/>
    <w:uiPriority w:val="99"/>
    <w:rsid w:val="00995E3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95E37"/>
    <w:rPr>
      <w:b/>
      <w:bCs/>
    </w:rPr>
  </w:style>
  <w:style w:type="character" w:customStyle="1" w:styleId="CommentSubjectChar">
    <w:name w:val="Comment Subject Char"/>
    <w:basedOn w:val="CommentTextChar"/>
    <w:link w:val="CommentSubject"/>
    <w:uiPriority w:val="99"/>
    <w:semiHidden/>
    <w:rsid w:val="00995E37"/>
    <w:rPr>
      <w:rFonts w:ascii="Calibri" w:hAnsi="Calibri" w:cs="Calibri"/>
      <w:b/>
      <w:bCs/>
      <w:sz w:val="20"/>
      <w:szCs w:val="20"/>
    </w:rPr>
  </w:style>
  <w:style w:type="paragraph" w:styleId="Revision">
    <w:name w:val="Revision"/>
    <w:hidden/>
    <w:uiPriority w:val="99"/>
    <w:semiHidden/>
    <w:rsid w:val="00DC19C7"/>
    <w:pPr>
      <w:spacing w:after="0" w:line="240" w:lineRule="auto"/>
    </w:pPr>
    <w:rPr>
      <w:rFonts w:ascii="Calibri" w:hAnsi="Calibri" w:cs="Calibri"/>
    </w:rPr>
  </w:style>
  <w:style w:type="table" w:styleId="TableGrid">
    <w:name w:val="Table Grid"/>
    <w:basedOn w:val="TableNormal"/>
    <w:uiPriority w:val="39"/>
    <w:rsid w:val="0094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19E7"/>
    <w:rPr>
      <w:color w:val="605E5C"/>
      <w:shd w:val="clear" w:color="auto" w:fill="E1DFDD"/>
    </w:rPr>
  </w:style>
  <w:style w:type="character" w:styleId="FollowedHyperlink">
    <w:name w:val="FollowedHyperlink"/>
    <w:basedOn w:val="DefaultParagraphFont"/>
    <w:uiPriority w:val="99"/>
    <w:semiHidden/>
    <w:unhideWhenUsed/>
    <w:rsid w:val="00F72386"/>
    <w:rPr>
      <w:color w:val="954F72" w:themeColor="followedHyperlink"/>
      <w:u w:val="single"/>
    </w:rPr>
  </w:style>
  <w:style w:type="character" w:customStyle="1" w:styleId="xn-location">
    <w:name w:val="xn-location"/>
    <w:basedOn w:val="DefaultParagraphFont"/>
    <w:rsid w:val="004902FF"/>
  </w:style>
  <w:style w:type="character" w:customStyle="1" w:styleId="xn-chron">
    <w:name w:val="xn-chron"/>
    <w:basedOn w:val="DefaultParagraphFont"/>
    <w:rsid w:val="004902FF"/>
  </w:style>
  <w:style w:type="character" w:styleId="Emphasis">
    <w:name w:val="Emphasis"/>
    <w:basedOn w:val="DefaultParagraphFont"/>
    <w:uiPriority w:val="20"/>
    <w:qFormat/>
    <w:rsid w:val="004902FF"/>
    <w:rPr>
      <w:i/>
      <w:iCs/>
    </w:rPr>
  </w:style>
  <w:style w:type="paragraph" w:styleId="NormalWeb">
    <w:name w:val="Normal (Web)"/>
    <w:basedOn w:val="Normal"/>
    <w:uiPriority w:val="99"/>
    <w:unhideWhenUsed/>
    <w:rsid w:val="008E05A9"/>
    <w:pPr>
      <w:spacing w:before="100" w:beforeAutospacing="1" w:after="100" w:afterAutospacing="1"/>
    </w:pPr>
    <w:rPr>
      <w:kern w:val="2"/>
      <w:lang w:eastAsia="zh-CN"/>
      <w14:ligatures w14:val="standardContextual"/>
    </w:rPr>
  </w:style>
  <w:style w:type="paragraph" w:customStyle="1" w:styleId="BodytextAgency">
    <w:name w:val="Body text (Agency)"/>
    <w:basedOn w:val="Normal"/>
    <w:link w:val="BodytextAgencyChar"/>
    <w:qFormat/>
    <w:rsid w:val="008E05A9"/>
    <w:pPr>
      <w:spacing w:after="140" w:line="280" w:lineRule="atLeast"/>
    </w:pPr>
    <w:rPr>
      <w:rFonts w:ascii="Verdana" w:eastAsia="Verdana" w:hAnsi="Verdana" w:cs="Verdana"/>
      <w:sz w:val="18"/>
      <w:szCs w:val="18"/>
      <w:lang w:val="en-GB" w:eastAsia="en-GB"/>
      <w14:ligatures w14:val="standardContextual"/>
    </w:rPr>
  </w:style>
  <w:style w:type="character" w:customStyle="1" w:styleId="BodytextAgencyChar">
    <w:name w:val="Body text (Agency) Char"/>
    <w:basedOn w:val="DefaultParagraphFont"/>
    <w:link w:val="BodytextAgency"/>
    <w:qFormat/>
    <w:rsid w:val="008E05A9"/>
    <w:rPr>
      <w:rFonts w:ascii="Verdana" w:eastAsia="Verdana" w:hAnsi="Verdana" w:cs="Verdana"/>
      <w:sz w:val="18"/>
      <w:szCs w:val="18"/>
      <w:lang w:val="en-GB" w:eastAsia="en-GB"/>
      <w14:ligatures w14:val="standardContextual"/>
    </w:rPr>
  </w:style>
  <w:style w:type="character" w:styleId="Strong">
    <w:name w:val="Strong"/>
    <w:basedOn w:val="DefaultParagraphFont"/>
    <w:uiPriority w:val="22"/>
    <w:qFormat/>
    <w:rsid w:val="00F53548"/>
    <w:rPr>
      <w:b/>
      <w:bCs/>
    </w:rPr>
  </w:style>
  <w:style w:type="character" w:customStyle="1" w:styleId="hgkelc">
    <w:name w:val="hgkelc"/>
    <w:basedOn w:val="DefaultParagraphFont"/>
    <w:rsid w:val="00FB61BB"/>
  </w:style>
  <w:style w:type="paragraph" w:styleId="ListParagraph">
    <w:name w:val="List Paragraph"/>
    <w:basedOn w:val="Normal"/>
    <w:uiPriority w:val="34"/>
    <w:qFormat/>
    <w:rsid w:val="00E06EC3"/>
    <w:pPr>
      <w:ind w:left="720"/>
    </w:pPr>
    <w:rPr>
      <w:rFonts w:ascii="Calibri" w:eastAsiaTheme="minorEastAsia" w:hAnsi="Calibri" w:cs="Calibri"/>
      <w:sz w:val="22"/>
      <w:szCs w:val="22"/>
      <w:lang w:eastAsia="zh-CN"/>
    </w:rPr>
  </w:style>
  <w:style w:type="paragraph" w:customStyle="1" w:styleId="Default">
    <w:name w:val="Default"/>
    <w:rsid w:val="00E06EC3"/>
    <w:pPr>
      <w:autoSpaceDE w:val="0"/>
      <w:autoSpaceDN w:val="0"/>
      <w:adjustRightInd w:val="0"/>
      <w:spacing w:after="0" w:line="240" w:lineRule="auto"/>
    </w:pPr>
    <w:rPr>
      <w:rFonts w:ascii="Arial" w:hAnsi="Arial" w:cs="Arial"/>
      <w:color w:val="000000"/>
      <w:sz w:val="24"/>
      <w:szCs w:val="24"/>
      <w:lang w:val="en-US"/>
    </w:rPr>
  </w:style>
  <w:style w:type="character" w:customStyle="1" w:styleId="A0">
    <w:name w:val="A0"/>
    <w:uiPriority w:val="99"/>
    <w:rsid w:val="00E06EC3"/>
    <w:rPr>
      <w:rFonts w:cs="HelveticaNeueLT Pro 65 Md"/>
      <w:b/>
      <w:bCs/>
      <w:color w:val="000000"/>
      <w:sz w:val="26"/>
      <w:szCs w:val="26"/>
    </w:rPr>
  </w:style>
  <w:style w:type="character" w:customStyle="1" w:styleId="cf01">
    <w:name w:val="cf01"/>
    <w:basedOn w:val="DefaultParagraphFont"/>
    <w:rsid w:val="00E06EC3"/>
    <w:rPr>
      <w:rFonts w:ascii="Segoe UI" w:hAnsi="Segoe UI" w:cs="Segoe UI" w:hint="default"/>
      <w:sz w:val="18"/>
      <w:szCs w:val="18"/>
    </w:rPr>
  </w:style>
  <w:style w:type="character" w:customStyle="1" w:styleId="xn-money">
    <w:name w:val="xn-money"/>
    <w:basedOn w:val="DefaultParagraphFont"/>
    <w:rsid w:val="00B109CC"/>
  </w:style>
  <w:style w:type="character" w:customStyle="1" w:styleId="ui-provider">
    <w:name w:val="ui-provider"/>
    <w:basedOn w:val="DefaultParagraphFont"/>
    <w:rsid w:val="001C4412"/>
  </w:style>
  <w:style w:type="character" w:customStyle="1" w:styleId="Heading3Char">
    <w:name w:val="Heading 3 Char"/>
    <w:basedOn w:val="DefaultParagraphFont"/>
    <w:link w:val="Heading3"/>
    <w:uiPriority w:val="9"/>
    <w:semiHidden/>
    <w:rsid w:val="00DB7E93"/>
    <w:rPr>
      <w:rFonts w:asciiTheme="majorHAnsi" w:eastAsiaTheme="majorEastAsia" w:hAnsiTheme="majorHAnsi" w:cstheme="majorBidi"/>
      <w:color w:val="1F3763" w:themeColor="accent1" w:themeShade="7F"/>
      <w:sz w:val="24"/>
      <w:szCs w:val="24"/>
      <w:lang w:val="en-US"/>
    </w:rPr>
  </w:style>
  <w:style w:type="character" w:customStyle="1" w:styleId="Heading1Char">
    <w:name w:val="Heading 1 Char"/>
    <w:basedOn w:val="DefaultParagraphFont"/>
    <w:link w:val="Heading1"/>
    <w:uiPriority w:val="9"/>
    <w:rsid w:val="001B39B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751">
      <w:bodyDiv w:val="1"/>
      <w:marLeft w:val="0"/>
      <w:marRight w:val="0"/>
      <w:marTop w:val="0"/>
      <w:marBottom w:val="0"/>
      <w:divBdr>
        <w:top w:val="none" w:sz="0" w:space="0" w:color="auto"/>
        <w:left w:val="none" w:sz="0" w:space="0" w:color="auto"/>
        <w:bottom w:val="none" w:sz="0" w:space="0" w:color="auto"/>
        <w:right w:val="none" w:sz="0" w:space="0" w:color="auto"/>
      </w:divBdr>
      <w:divsChild>
        <w:div w:id="238911324">
          <w:marLeft w:val="0"/>
          <w:marRight w:val="0"/>
          <w:marTop w:val="0"/>
          <w:marBottom w:val="0"/>
          <w:divBdr>
            <w:top w:val="none" w:sz="0" w:space="0" w:color="auto"/>
            <w:left w:val="none" w:sz="0" w:space="0" w:color="auto"/>
            <w:bottom w:val="none" w:sz="0" w:space="0" w:color="auto"/>
            <w:right w:val="none" w:sz="0" w:space="0" w:color="auto"/>
          </w:divBdr>
          <w:divsChild>
            <w:div w:id="1719621061">
              <w:marLeft w:val="0"/>
              <w:marRight w:val="0"/>
              <w:marTop w:val="0"/>
              <w:marBottom w:val="180"/>
              <w:divBdr>
                <w:top w:val="none" w:sz="0" w:space="0" w:color="auto"/>
                <w:left w:val="none" w:sz="0" w:space="0" w:color="auto"/>
                <w:bottom w:val="none" w:sz="0" w:space="0" w:color="auto"/>
                <w:right w:val="none" w:sz="0" w:space="0" w:color="auto"/>
              </w:divBdr>
              <w:divsChild>
                <w:div w:id="7690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1325">
          <w:marLeft w:val="0"/>
          <w:marRight w:val="0"/>
          <w:marTop w:val="0"/>
          <w:marBottom w:val="0"/>
          <w:divBdr>
            <w:top w:val="none" w:sz="0" w:space="0" w:color="auto"/>
            <w:left w:val="none" w:sz="0" w:space="0" w:color="auto"/>
            <w:bottom w:val="none" w:sz="0" w:space="0" w:color="auto"/>
            <w:right w:val="none" w:sz="0" w:space="0" w:color="auto"/>
          </w:divBdr>
        </w:div>
      </w:divsChild>
    </w:div>
    <w:div w:id="195042604">
      <w:bodyDiv w:val="1"/>
      <w:marLeft w:val="0"/>
      <w:marRight w:val="0"/>
      <w:marTop w:val="0"/>
      <w:marBottom w:val="0"/>
      <w:divBdr>
        <w:top w:val="none" w:sz="0" w:space="0" w:color="auto"/>
        <w:left w:val="none" w:sz="0" w:space="0" w:color="auto"/>
        <w:bottom w:val="none" w:sz="0" w:space="0" w:color="auto"/>
        <w:right w:val="none" w:sz="0" w:space="0" w:color="auto"/>
      </w:divBdr>
    </w:div>
    <w:div w:id="257564720">
      <w:bodyDiv w:val="1"/>
      <w:marLeft w:val="0"/>
      <w:marRight w:val="0"/>
      <w:marTop w:val="0"/>
      <w:marBottom w:val="0"/>
      <w:divBdr>
        <w:top w:val="none" w:sz="0" w:space="0" w:color="auto"/>
        <w:left w:val="none" w:sz="0" w:space="0" w:color="auto"/>
        <w:bottom w:val="none" w:sz="0" w:space="0" w:color="auto"/>
        <w:right w:val="none" w:sz="0" w:space="0" w:color="auto"/>
      </w:divBdr>
    </w:div>
    <w:div w:id="261450007">
      <w:bodyDiv w:val="1"/>
      <w:marLeft w:val="0"/>
      <w:marRight w:val="0"/>
      <w:marTop w:val="0"/>
      <w:marBottom w:val="0"/>
      <w:divBdr>
        <w:top w:val="none" w:sz="0" w:space="0" w:color="auto"/>
        <w:left w:val="none" w:sz="0" w:space="0" w:color="auto"/>
        <w:bottom w:val="none" w:sz="0" w:space="0" w:color="auto"/>
        <w:right w:val="none" w:sz="0" w:space="0" w:color="auto"/>
      </w:divBdr>
    </w:div>
    <w:div w:id="343287650">
      <w:bodyDiv w:val="1"/>
      <w:marLeft w:val="0"/>
      <w:marRight w:val="0"/>
      <w:marTop w:val="0"/>
      <w:marBottom w:val="0"/>
      <w:divBdr>
        <w:top w:val="none" w:sz="0" w:space="0" w:color="auto"/>
        <w:left w:val="none" w:sz="0" w:space="0" w:color="auto"/>
        <w:bottom w:val="none" w:sz="0" w:space="0" w:color="auto"/>
        <w:right w:val="none" w:sz="0" w:space="0" w:color="auto"/>
      </w:divBdr>
    </w:div>
    <w:div w:id="471218697">
      <w:bodyDiv w:val="1"/>
      <w:marLeft w:val="0"/>
      <w:marRight w:val="0"/>
      <w:marTop w:val="0"/>
      <w:marBottom w:val="0"/>
      <w:divBdr>
        <w:top w:val="none" w:sz="0" w:space="0" w:color="auto"/>
        <w:left w:val="none" w:sz="0" w:space="0" w:color="auto"/>
        <w:bottom w:val="none" w:sz="0" w:space="0" w:color="auto"/>
        <w:right w:val="none" w:sz="0" w:space="0" w:color="auto"/>
      </w:divBdr>
    </w:div>
    <w:div w:id="494300811">
      <w:bodyDiv w:val="1"/>
      <w:marLeft w:val="0"/>
      <w:marRight w:val="0"/>
      <w:marTop w:val="0"/>
      <w:marBottom w:val="0"/>
      <w:divBdr>
        <w:top w:val="none" w:sz="0" w:space="0" w:color="auto"/>
        <w:left w:val="none" w:sz="0" w:space="0" w:color="auto"/>
        <w:bottom w:val="none" w:sz="0" w:space="0" w:color="auto"/>
        <w:right w:val="none" w:sz="0" w:space="0" w:color="auto"/>
      </w:divBdr>
    </w:div>
    <w:div w:id="670839063">
      <w:bodyDiv w:val="1"/>
      <w:marLeft w:val="0"/>
      <w:marRight w:val="0"/>
      <w:marTop w:val="0"/>
      <w:marBottom w:val="0"/>
      <w:divBdr>
        <w:top w:val="none" w:sz="0" w:space="0" w:color="auto"/>
        <w:left w:val="none" w:sz="0" w:space="0" w:color="auto"/>
        <w:bottom w:val="none" w:sz="0" w:space="0" w:color="auto"/>
        <w:right w:val="none" w:sz="0" w:space="0" w:color="auto"/>
      </w:divBdr>
      <w:divsChild>
        <w:div w:id="1676298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994260">
      <w:bodyDiv w:val="1"/>
      <w:marLeft w:val="0"/>
      <w:marRight w:val="0"/>
      <w:marTop w:val="0"/>
      <w:marBottom w:val="0"/>
      <w:divBdr>
        <w:top w:val="none" w:sz="0" w:space="0" w:color="auto"/>
        <w:left w:val="none" w:sz="0" w:space="0" w:color="auto"/>
        <w:bottom w:val="none" w:sz="0" w:space="0" w:color="auto"/>
        <w:right w:val="none" w:sz="0" w:space="0" w:color="auto"/>
      </w:divBdr>
      <w:divsChild>
        <w:div w:id="37913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030658">
      <w:bodyDiv w:val="1"/>
      <w:marLeft w:val="0"/>
      <w:marRight w:val="0"/>
      <w:marTop w:val="0"/>
      <w:marBottom w:val="0"/>
      <w:divBdr>
        <w:top w:val="none" w:sz="0" w:space="0" w:color="auto"/>
        <w:left w:val="none" w:sz="0" w:space="0" w:color="auto"/>
        <w:bottom w:val="none" w:sz="0" w:space="0" w:color="auto"/>
        <w:right w:val="none" w:sz="0" w:space="0" w:color="auto"/>
      </w:divBdr>
      <w:divsChild>
        <w:div w:id="901521389">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14185899">
      <w:bodyDiv w:val="1"/>
      <w:marLeft w:val="0"/>
      <w:marRight w:val="0"/>
      <w:marTop w:val="0"/>
      <w:marBottom w:val="0"/>
      <w:divBdr>
        <w:top w:val="none" w:sz="0" w:space="0" w:color="auto"/>
        <w:left w:val="none" w:sz="0" w:space="0" w:color="auto"/>
        <w:bottom w:val="none" w:sz="0" w:space="0" w:color="auto"/>
        <w:right w:val="none" w:sz="0" w:space="0" w:color="auto"/>
      </w:divBdr>
    </w:div>
    <w:div w:id="1151168903">
      <w:bodyDiv w:val="1"/>
      <w:marLeft w:val="0"/>
      <w:marRight w:val="0"/>
      <w:marTop w:val="0"/>
      <w:marBottom w:val="0"/>
      <w:divBdr>
        <w:top w:val="none" w:sz="0" w:space="0" w:color="auto"/>
        <w:left w:val="none" w:sz="0" w:space="0" w:color="auto"/>
        <w:bottom w:val="none" w:sz="0" w:space="0" w:color="auto"/>
        <w:right w:val="none" w:sz="0" w:space="0" w:color="auto"/>
      </w:divBdr>
      <w:divsChild>
        <w:div w:id="343284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5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5210106">
      <w:bodyDiv w:val="1"/>
      <w:marLeft w:val="0"/>
      <w:marRight w:val="0"/>
      <w:marTop w:val="0"/>
      <w:marBottom w:val="0"/>
      <w:divBdr>
        <w:top w:val="none" w:sz="0" w:space="0" w:color="auto"/>
        <w:left w:val="none" w:sz="0" w:space="0" w:color="auto"/>
        <w:bottom w:val="none" w:sz="0" w:space="0" w:color="auto"/>
        <w:right w:val="none" w:sz="0" w:space="0" w:color="auto"/>
      </w:divBdr>
    </w:div>
    <w:div w:id="1371881367">
      <w:bodyDiv w:val="1"/>
      <w:marLeft w:val="0"/>
      <w:marRight w:val="0"/>
      <w:marTop w:val="0"/>
      <w:marBottom w:val="0"/>
      <w:divBdr>
        <w:top w:val="none" w:sz="0" w:space="0" w:color="auto"/>
        <w:left w:val="none" w:sz="0" w:space="0" w:color="auto"/>
        <w:bottom w:val="none" w:sz="0" w:space="0" w:color="auto"/>
        <w:right w:val="none" w:sz="0" w:space="0" w:color="auto"/>
      </w:divBdr>
    </w:div>
    <w:div w:id="1450585348">
      <w:bodyDiv w:val="1"/>
      <w:marLeft w:val="0"/>
      <w:marRight w:val="0"/>
      <w:marTop w:val="0"/>
      <w:marBottom w:val="0"/>
      <w:divBdr>
        <w:top w:val="none" w:sz="0" w:space="0" w:color="auto"/>
        <w:left w:val="none" w:sz="0" w:space="0" w:color="auto"/>
        <w:bottom w:val="none" w:sz="0" w:space="0" w:color="auto"/>
        <w:right w:val="none" w:sz="0" w:space="0" w:color="auto"/>
      </w:divBdr>
    </w:div>
    <w:div w:id="1483699019">
      <w:bodyDiv w:val="1"/>
      <w:marLeft w:val="0"/>
      <w:marRight w:val="0"/>
      <w:marTop w:val="0"/>
      <w:marBottom w:val="0"/>
      <w:divBdr>
        <w:top w:val="none" w:sz="0" w:space="0" w:color="auto"/>
        <w:left w:val="none" w:sz="0" w:space="0" w:color="auto"/>
        <w:bottom w:val="none" w:sz="0" w:space="0" w:color="auto"/>
        <w:right w:val="none" w:sz="0" w:space="0" w:color="auto"/>
      </w:divBdr>
    </w:div>
    <w:div w:id="1507943549">
      <w:bodyDiv w:val="1"/>
      <w:marLeft w:val="0"/>
      <w:marRight w:val="0"/>
      <w:marTop w:val="0"/>
      <w:marBottom w:val="0"/>
      <w:divBdr>
        <w:top w:val="none" w:sz="0" w:space="0" w:color="auto"/>
        <w:left w:val="none" w:sz="0" w:space="0" w:color="auto"/>
        <w:bottom w:val="none" w:sz="0" w:space="0" w:color="auto"/>
        <w:right w:val="none" w:sz="0" w:space="0" w:color="auto"/>
      </w:divBdr>
    </w:div>
    <w:div w:id="1965496411">
      <w:bodyDiv w:val="1"/>
      <w:marLeft w:val="0"/>
      <w:marRight w:val="0"/>
      <w:marTop w:val="0"/>
      <w:marBottom w:val="0"/>
      <w:divBdr>
        <w:top w:val="none" w:sz="0" w:space="0" w:color="auto"/>
        <w:left w:val="none" w:sz="0" w:space="0" w:color="auto"/>
        <w:bottom w:val="none" w:sz="0" w:space="0" w:color="auto"/>
        <w:right w:val="none" w:sz="0" w:space="0" w:color="auto"/>
      </w:divBdr>
    </w:div>
    <w:div w:id="2065443031">
      <w:bodyDiv w:val="1"/>
      <w:marLeft w:val="0"/>
      <w:marRight w:val="0"/>
      <w:marTop w:val="0"/>
      <w:marBottom w:val="0"/>
      <w:divBdr>
        <w:top w:val="none" w:sz="0" w:space="0" w:color="auto"/>
        <w:left w:val="none" w:sz="0" w:space="0" w:color="auto"/>
        <w:bottom w:val="none" w:sz="0" w:space="0" w:color="auto"/>
        <w:right w:val="none" w:sz="0" w:space="0" w:color="auto"/>
      </w:divBdr>
      <w:divsChild>
        <w:div w:id="64096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83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304777">
      <w:bodyDiv w:val="1"/>
      <w:marLeft w:val="0"/>
      <w:marRight w:val="0"/>
      <w:marTop w:val="0"/>
      <w:marBottom w:val="0"/>
      <w:divBdr>
        <w:top w:val="none" w:sz="0" w:space="0" w:color="auto"/>
        <w:left w:val="none" w:sz="0" w:space="0" w:color="auto"/>
        <w:bottom w:val="none" w:sz="0" w:space="0" w:color="auto"/>
        <w:right w:val="none" w:sz="0" w:space="0" w:color="auto"/>
      </w:divBdr>
    </w:div>
    <w:div w:id="2138523433">
      <w:bodyDiv w:val="1"/>
      <w:marLeft w:val="0"/>
      <w:marRight w:val="0"/>
      <w:marTop w:val="0"/>
      <w:marBottom w:val="0"/>
      <w:divBdr>
        <w:top w:val="none" w:sz="0" w:space="0" w:color="auto"/>
        <w:left w:val="none" w:sz="0" w:space="0" w:color="auto"/>
        <w:bottom w:val="none" w:sz="0" w:space="0" w:color="auto"/>
        <w:right w:val="none" w:sz="0" w:space="0" w:color="auto"/>
      </w:divBdr>
    </w:div>
    <w:div w:id="2142111900">
      <w:bodyDiv w:val="1"/>
      <w:marLeft w:val="0"/>
      <w:marRight w:val="0"/>
      <w:marTop w:val="0"/>
      <w:marBottom w:val="0"/>
      <w:divBdr>
        <w:top w:val="none" w:sz="0" w:space="0" w:color="auto"/>
        <w:left w:val="none" w:sz="0" w:space="0" w:color="auto"/>
        <w:bottom w:val="none" w:sz="0" w:space="0" w:color="auto"/>
        <w:right w:val="none" w:sz="0" w:space="0" w:color="auto"/>
      </w:divBdr>
      <w:divsChild>
        <w:div w:id="14601511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assn.org/public-health/prevention-wellness/what-doctors-wish-patients-knew-about-osteoporosis" TargetMode="External"/><Relationship Id="rId18" Type="http://schemas.openxmlformats.org/officeDocument/2006/relationships/hyperlink" Target="http://www.biocon.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umman.ahmed@biocon.com" TargetMode="External"/><Relationship Id="rId7" Type="http://schemas.openxmlformats.org/officeDocument/2006/relationships/settings" Target="settings.xml"/><Relationship Id="rId12" Type="http://schemas.openxmlformats.org/officeDocument/2006/relationships/hyperlink" Target="https://www.bonehealthandosteoporosis.org/wp-content/uploads/Osteoporosis-Fast-Facts-2.pdf" TargetMode="External"/><Relationship Id="rId17" Type="http://schemas.openxmlformats.org/officeDocument/2006/relationships/hyperlink" Target="https://www.linkedin.com/company/bioconbiologic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ioconbiologics.com" TargetMode="External"/><Relationship Id="rId20" Type="http://schemas.openxmlformats.org/officeDocument/2006/relationships/hyperlink" Target="https://www.linkedin.com/company/bioco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conbiologics.com/biocon-biologics-receives-u-s-food-and-drug-administration-approval-for-bosaya-and-aukelso-denosumab-biosimilar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cer.org/cancer/managing-cancer/advanced-cancer/bone-metastases.html" TargetMode="External"/><Relationship Id="rId23" Type="http://schemas.openxmlformats.org/officeDocument/2006/relationships/hyperlink" Target="mailto:saurabh.paliwal@biocon.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x.com/Bioconlimited?t=ASMOvAKEj4KbJtu-_n5K3w&amp;s=08"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ffitt.org/cancers/bone-metastasis/" TargetMode="External"/><Relationship Id="rId22" Type="http://schemas.openxmlformats.org/officeDocument/2006/relationships/hyperlink" Target="mailto:lance.longwell@biocon.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D452415508F94382DF2316BCC0E2FF" ma:contentTypeVersion="13" ma:contentTypeDescription="Create a new document." ma:contentTypeScope="" ma:versionID="aaa41d7ad5ae140492b8538ce4e6fea7">
  <xsd:schema xmlns:xsd="http://www.w3.org/2001/XMLSchema" xmlns:xs="http://www.w3.org/2001/XMLSchema" xmlns:p="http://schemas.microsoft.com/office/2006/metadata/properties" xmlns:ns2="bd349600-a359-4c72-ad9f-8666ac96aa21" xmlns:ns3="3b2d6363-6aa5-4dc7-b310-3b526891ed29" targetNamespace="http://schemas.microsoft.com/office/2006/metadata/properties" ma:root="true" ma:fieldsID="fd6e6bfba5a4c26e81a3364d21ea8846" ns2:_="" ns3:_="">
    <xsd:import namespace="bd349600-a359-4c72-ad9f-8666ac96aa21"/>
    <xsd:import namespace="3b2d6363-6aa5-4dc7-b310-3b526891ed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49600-a359-4c72-ad9f-8666ac96a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4cc4da-0e40-407f-b6c5-d3eec7ba93a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d6363-6aa5-4dc7-b310-3b526891ed2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c6ee3c-e64b-46f8-9103-1768e1542f29}" ma:internalName="TaxCatchAll" ma:showField="CatchAllData" ma:web="3b2d6363-6aa5-4dc7-b310-3b526891ed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349600-a359-4c72-ad9f-8666ac96aa21">
      <Terms xmlns="http://schemas.microsoft.com/office/infopath/2007/PartnerControls"/>
    </lcf76f155ced4ddcb4097134ff3c332f>
    <TaxCatchAll xmlns="3b2d6363-6aa5-4dc7-b310-3b526891ed29" xsi:nil="true"/>
  </documentManagement>
</p:properties>
</file>

<file path=customXml/itemProps1.xml><?xml version="1.0" encoding="utf-8"?>
<ds:datastoreItem xmlns:ds="http://schemas.openxmlformats.org/officeDocument/2006/customXml" ds:itemID="{D09CE29D-7DF6-46E9-B71D-73765099B732}">
  <ds:schemaRefs>
    <ds:schemaRef ds:uri="http://schemas.openxmlformats.org/officeDocument/2006/bibliography"/>
  </ds:schemaRefs>
</ds:datastoreItem>
</file>

<file path=customXml/itemProps2.xml><?xml version="1.0" encoding="utf-8"?>
<ds:datastoreItem xmlns:ds="http://schemas.openxmlformats.org/officeDocument/2006/customXml" ds:itemID="{84493986-AAE7-4F93-8951-B422B0F3FE70}">
  <ds:schemaRefs>
    <ds:schemaRef ds:uri="http://schemas.microsoft.com/sharepoint/v3/contenttype/forms"/>
  </ds:schemaRefs>
</ds:datastoreItem>
</file>

<file path=customXml/itemProps3.xml><?xml version="1.0" encoding="utf-8"?>
<ds:datastoreItem xmlns:ds="http://schemas.openxmlformats.org/officeDocument/2006/customXml" ds:itemID="{24BD3653-AAD7-4381-AA84-D83B6026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49600-a359-4c72-ad9f-8666ac96aa21"/>
    <ds:schemaRef ds:uri="3b2d6363-6aa5-4dc7-b310-3b526891e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A9515-4E30-4322-88F0-14E041C3F471}">
  <ds:schemaRefs>
    <ds:schemaRef ds:uri="http://schemas.microsoft.com/office/2006/metadata/properties"/>
    <ds:schemaRef ds:uri="http://schemas.microsoft.com/office/infopath/2007/PartnerControls"/>
    <ds:schemaRef ds:uri="bd349600-a359-4c72-ad9f-8666ac96aa21"/>
    <ds:schemaRef ds:uri="3b2d6363-6aa5-4dc7-b310-3b526891ed29"/>
  </ds:schemaRefs>
</ds:datastoreItem>
</file>

<file path=docMetadata/LabelInfo.xml><?xml version="1.0" encoding="utf-8"?>
<clbl:labelList xmlns:clbl="http://schemas.microsoft.com/office/2020/mipLabelMetadata">
  <clbl:label id="{c43083c0-cc01-4eaa-ba4e-d8b6f7c13b95}" enabled="0" method="" siteId="{c43083c0-cc01-4eaa-ba4e-d8b6f7c13b9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2563</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Links>
    <vt:vector size="78" baseType="variant">
      <vt:variant>
        <vt:i4>4784187</vt:i4>
      </vt:variant>
      <vt:variant>
        <vt:i4>36</vt:i4>
      </vt:variant>
      <vt:variant>
        <vt:i4>0</vt:i4>
      </vt:variant>
      <vt:variant>
        <vt:i4>5</vt:i4>
      </vt:variant>
      <vt:variant>
        <vt:lpwstr>mailto:saurabh.paliwal@biocon.com</vt:lpwstr>
      </vt:variant>
      <vt:variant>
        <vt:lpwstr/>
      </vt:variant>
      <vt:variant>
        <vt:i4>3539012</vt:i4>
      </vt:variant>
      <vt:variant>
        <vt:i4>33</vt:i4>
      </vt:variant>
      <vt:variant>
        <vt:i4>0</vt:i4>
      </vt:variant>
      <vt:variant>
        <vt:i4>5</vt:i4>
      </vt:variant>
      <vt:variant>
        <vt:lpwstr>mailto:lance.longwell@biocon.com</vt:lpwstr>
      </vt:variant>
      <vt:variant>
        <vt:lpwstr/>
      </vt:variant>
      <vt:variant>
        <vt:i4>1376375</vt:i4>
      </vt:variant>
      <vt:variant>
        <vt:i4>30</vt:i4>
      </vt:variant>
      <vt:variant>
        <vt:i4>0</vt:i4>
      </vt:variant>
      <vt:variant>
        <vt:i4>5</vt:i4>
      </vt:variant>
      <vt:variant>
        <vt:lpwstr>mailto:rumman.ahmed@biocon.com</vt:lpwstr>
      </vt:variant>
      <vt:variant>
        <vt:lpwstr/>
      </vt:variant>
      <vt:variant>
        <vt:i4>1376282</vt:i4>
      </vt:variant>
      <vt:variant>
        <vt:i4>27</vt:i4>
      </vt:variant>
      <vt:variant>
        <vt:i4>0</vt:i4>
      </vt:variant>
      <vt:variant>
        <vt:i4>5</vt:i4>
      </vt:variant>
      <vt:variant>
        <vt:lpwstr>https://www.linkedin.com/company/biocon/</vt:lpwstr>
      </vt:variant>
      <vt:variant>
        <vt:lpwstr/>
      </vt:variant>
      <vt:variant>
        <vt:i4>5898364</vt:i4>
      </vt:variant>
      <vt:variant>
        <vt:i4>24</vt:i4>
      </vt:variant>
      <vt:variant>
        <vt:i4>0</vt:i4>
      </vt:variant>
      <vt:variant>
        <vt:i4>5</vt:i4>
      </vt:variant>
      <vt:variant>
        <vt:lpwstr>https://x.com/Bioconlimited?t=ASMOvAKEj4KbJtu-_n5K3w&amp;s=08</vt:lpwstr>
      </vt:variant>
      <vt:variant>
        <vt:lpwstr/>
      </vt:variant>
      <vt:variant>
        <vt:i4>2555962</vt:i4>
      </vt:variant>
      <vt:variant>
        <vt:i4>21</vt:i4>
      </vt:variant>
      <vt:variant>
        <vt:i4>0</vt:i4>
      </vt:variant>
      <vt:variant>
        <vt:i4>5</vt:i4>
      </vt:variant>
      <vt:variant>
        <vt:lpwstr>http://www.biocon.com/</vt:lpwstr>
      </vt:variant>
      <vt:variant>
        <vt:lpwstr/>
      </vt:variant>
      <vt:variant>
        <vt:i4>4325403</vt:i4>
      </vt:variant>
      <vt:variant>
        <vt:i4>18</vt:i4>
      </vt:variant>
      <vt:variant>
        <vt:i4>0</vt:i4>
      </vt:variant>
      <vt:variant>
        <vt:i4>5</vt:i4>
      </vt:variant>
      <vt:variant>
        <vt:lpwstr>https://www.linkedin.com/company/bioconbiologics/</vt:lpwstr>
      </vt:variant>
      <vt:variant>
        <vt:lpwstr/>
      </vt:variant>
      <vt:variant>
        <vt:i4>4128884</vt:i4>
      </vt:variant>
      <vt:variant>
        <vt:i4>15</vt:i4>
      </vt:variant>
      <vt:variant>
        <vt:i4>0</vt:i4>
      </vt:variant>
      <vt:variant>
        <vt:i4>5</vt:i4>
      </vt:variant>
      <vt:variant>
        <vt:lpwstr>http://www.bioconbiologics.com/</vt:lpwstr>
      </vt:variant>
      <vt:variant>
        <vt:lpwstr/>
      </vt:variant>
      <vt:variant>
        <vt:i4>2687081</vt:i4>
      </vt:variant>
      <vt:variant>
        <vt:i4>12</vt:i4>
      </vt:variant>
      <vt:variant>
        <vt:i4>0</vt:i4>
      </vt:variant>
      <vt:variant>
        <vt:i4>5</vt:i4>
      </vt:variant>
      <vt:variant>
        <vt:lpwstr>https://www.cancer.org/cancer/managing-cancer/advanced-cancer/bone-metastases.html</vt:lpwstr>
      </vt:variant>
      <vt:variant>
        <vt:lpwstr/>
      </vt:variant>
      <vt:variant>
        <vt:i4>6160404</vt:i4>
      </vt:variant>
      <vt:variant>
        <vt:i4>9</vt:i4>
      </vt:variant>
      <vt:variant>
        <vt:i4>0</vt:i4>
      </vt:variant>
      <vt:variant>
        <vt:i4>5</vt:i4>
      </vt:variant>
      <vt:variant>
        <vt:lpwstr>https://www.moffitt.org/cancers/bone-metastasis/</vt:lpwstr>
      </vt:variant>
      <vt:variant>
        <vt:lpwstr/>
      </vt:variant>
      <vt:variant>
        <vt:i4>4915208</vt:i4>
      </vt:variant>
      <vt:variant>
        <vt:i4>6</vt:i4>
      </vt:variant>
      <vt:variant>
        <vt:i4>0</vt:i4>
      </vt:variant>
      <vt:variant>
        <vt:i4>5</vt:i4>
      </vt:variant>
      <vt:variant>
        <vt:lpwstr>https://www.ama-assn.org/public-health/prevention-wellness/what-doctors-wish-patients-knew-about-osteoporosis</vt:lpwstr>
      </vt:variant>
      <vt:variant>
        <vt:lpwstr/>
      </vt:variant>
      <vt:variant>
        <vt:i4>3342370</vt:i4>
      </vt:variant>
      <vt:variant>
        <vt:i4>3</vt:i4>
      </vt:variant>
      <vt:variant>
        <vt:i4>0</vt:i4>
      </vt:variant>
      <vt:variant>
        <vt:i4>5</vt:i4>
      </vt:variant>
      <vt:variant>
        <vt:lpwstr>https://www.bonehealthandosteoporosis.org/wp-content/uploads/Osteoporosis-Fast-Facts-2.pdf</vt:lpwstr>
      </vt:variant>
      <vt:variant>
        <vt:lpwstr/>
      </vt:variant>
      <vt:variant>
        <vt:i4>7864426</vt:i4>
      </vt:variant>
      <vt:variant>
        <vt:i4>0</vt:i4>
      </vt:variant>
      <vt:variant>
        <vt:i4>0</vt:i4>
      </vt:variant>
      <vt:variant>
        <vt:i4>5</vt:i4>
      </vt:variant>
      <vt:variant>
        <vt:lpwstr>https://ml/min/1.73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Rumman Ahmed/GLOBAL COMMUNICATIONS/BBL</dc:creator>
  <cp:keywords/>
  <dc:description/>
  <cp:lastModifiedBy>Stephanie Record Wasco/GLOBAL COMMUNICATIONS/BBUS</cp:lastModifiedBy>
  <cp:revision>2</cp:revision>
  <cp:lastPrinted>2024-02-27T04:04:00Z</cp:lastPrinted>
  <dcterms:created xsi:type="dcterms:W3CDTF">2025-10-01T03:15:00Z</dcterms:created>
  <dcterms:modified xsi:type="dcterms:W3CDTF">2025-10-01T03:15:00Z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0x010100D2D452415508F94382DF2316BCC0E2FF</vt:lpwstr>
  </property>
  <property fmtid="{D5CDD505-2E9C-101B-9397-08002B2CF9AE}" pid="3" name="MediaServiceImageTags">
    <vt:lpwstr/>
  </property>
</Properties>
</file>