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DC3F" w14:textId="77777777" w:rsidR="00244481" w:rsidRPr="002B6076" w:rsidRDefault="00244481" w:rsidP="000952F1">
      <w:pPr>
        <w:spacing w:after="0" w:line="240" w:lineRule="auto"/>
        <w:jc w:val="center"/>
        <w:rPr>
          <w:rFonts w:cstheme="minorHAnsi"/>
          <w:b/>
        </w:rPr>
      </w:pPr>
      <w:r w:rsidRPr="00ED4DC0">
        <w:rPr>
          <w:rFonts w:cstheme="minorHAnsi"/>
          <w:bCs/>
          <w:i/>
          <w:iCs/>
        </w:rPr>
        <w:t>PRESS RELEASE</w:t>
      </w:r>
      <w:r>
        <w:rPr>
          <w:rFonts w:cstheme="minorHAnsi"/>
          <w:b/>
        </w:rPr>
        <w:t xml:space="preserve"> </w:t>
      </w:r>
    </w:p>
    <w:p w14:paraId="687E95D6" w14:textId="77777777" w:rsidR="000952F1" w:rsidRDefault="000952F1" w:rsidP="000952F1">
      <w:pPr>
        <w:pStyle w:val="xmsonormal"/>
        <w:spacing w:before="0" w:beforeAutospacing="0" w:after="0" w:afterAutospacing="0"/>
        <w:jc w:val="center"/>
        <w:rPr>
          <w:b/>
          <w:bCs/>
          <w:color w:val="4472C4" w:themeColor="accent1"/>
          <w:sz w:val="36"/>
          <w:szCs w:val="36"/>
          <w:lang w:val="en-US"/>
        </w:rPr>
      </w:pPr>
    </w:p>
    <w:p w14:paraId="30646C0B" w14:textId="65065E19" w:rsidR="00C756B8" w:rsidRPr="00244481" w:rsidRDefault="00C756B8" w:rsidP="00C756B8">
      <w:pPr>
        <w:pStyle w:val="xmsonormal"/>
        <w:spacing w:before="0" w:beforeAutospacing="0" w:after="0" w:afterAutospacing="0"/>
        <w:jc w:val="center"/>
        <w:rPr>
          <w:b/>
          <w:bCs/>
          <w:color w:val="4472C4" w:themeColor="accent1"/>
          <w:sz w:val="36"/>
          <w:szCs w:val="36"/>
          <w:lang w:val="en-US"/>
        </w:rPr>
      </w:pPr>
      <w:r w:rsidRPr="00244481">
        <w:rPr>
          <w:b/>
          <w:bCs/>
          <w:color w:val="4472C4" w:themeColor="accent1"/>
          <w:sz w:val="36"/>
          <w:szCs w:val="36"/>
          <w:lang w:val="en-US"/>
        </w:rPr>
        <w:t xml:space="preserve">Biocon Biologics Secures </w:t>
      </w:r>
      <w:r w:rsidR="00CC3A37" w:rsidRPr="00244481">
        <w:rPr>
          <w:b/>
          <w:bCs/>
          <w:color w:val="4472C4" w:themeColor="accent1"/>
          <w:sz w:val="36"/>
          <w:szCs w:val="36"/>
          <w:lang w:val="en-US"/>
        </w:rPr>
        <w:t xml:space="preserve">Market Entry Date for </w:t>
      </w:r>
      <w:r w:rsidR="00CC3A37" w:rsidRPr="00244481">
        <w:rPr>
          <w:b/>
          <w:bCs/>
          <w:color w:val="4472C4" w:themeColor="accent1"/>
          <w:sz w:val="36"/>
          <w:szCs w:val="36"/>
        </w:rPr>
        <w:t xml:space="preserve">Yesafili™, </w:t>
      </w:r>
      <w:r w:rsidR="0084727F">
        <w:rPr>
          <w:b/>
          <w:bCs/>
          <w:color w:val="4472C4" w:themeColor="accent1"/>
          <w:sz w:val="36"/>
          <w:szCs w:val="36"/>
        </w:rPr>
        <w:t>a</w:t>
      </w:r>
      <w:r w:rsidR="00F0170C">
        <w:rPr>
          <w:b/>
          <w:bCs/>
          <w:color w:val="4472C4" w:themeColor="accent1"/>
          <w:sz w:val="36"/>
          <w:szCs w:val="36"/>
        </w:rPr>
        <w:t>n</w:t>
      </w:r>
      <w:r w:rsidR="0084727F">
        <w:rPr>
          <w:b/>
          <w:bCs/>
          <w:color w:val="4472C4" w:themeColor="accent1"/>
          <w:sz w:val="36"/>
          <w:szCs w:val="36"/>
        </w:rPr>
        <w:t xml:space="preserve"> </w:t>
      </w:r>
      <w:r w:rsidR="00533D36">
        <w:rPr>
          <w:b/>
          <w:bCs/>
          <w:color w:val="4472C4" w:themeColor="accent1"/>
          <w:sz w:val="36"/>
          <w:szCs w:val="36"/>
        </w:rPr>
        <w:t>I</w:t>
      </w:r>
      <w:r w:rsidR="00F0170C">
        <w:rPr>
          <w:b/>
          <w:bCs/>
          <w:color w:val="4472C4" w:themeColor="accent1"/>
          <w:sz w:val="36"/>
          <w:szCs w:val="36"/>
        </w:rPr>
        <w:t xml:space="preserve">nterchangeable </w:t>
      </w:r>
      <w:r w:rsidR="0084727F" w:rsidRPr="00244481">
        <w:rPr>
          <w:b/>
          <w:bCs/>
          <w:color w:val="4472C4" w:themeColor="accent1"/>
          <w:sz w:val="36"/>
          <w:szCs w:val="36"/>
          <w:lang w:val="en-US"/>
        </w:rPr>
        <w:t xml:space="preserve">Biosimilar </w:t>
      </w:r>
      <w:r w:rsidR="0084727F">
        <w:rPr>
          <w:b/>
          <w:bCs/>
          <w:color w:val="4472C4" w:themeColor="accent1"/>
          <w:sz w:val="36"/>
          <w:szCs w:val="36"/>
          <w:lang w:val="en-US"/>
        </w:rPr>
        <w:t>to Eylea®</w:t>
      </w:r>
      <w:r w:rsidR="00F84F00">
        <w:rPr>
          <w:b/>
          <w:bCs/>
          <w:color w:val="4472C4" w:themeColor="accent1"/>
          <w:sz w:val="36"/>
          <w:szCs w:val="36"/>
          <w:lang w:val="en-US"/>
        </w:rPr>
        <w:t>,</w:t>
      </w:r>
      <w:r w:rsidRPr="00244481">
        <w:rPr>
          <w:b/>
          <w:bCs/>
          <w:color w:val="4472C4" w:themeColor="accent1"/>
          <w:sz w:val="36"/>
          <w:szCs w:val="36"/>
          <w:lang w:val="en-US"/>
        </w:rPr>
        <w:t xml:space="preserve"> </w:t>
      </w:r>
      <w:r w:rsidR="0084727F">
        <w:rPr>
          <w:b/>
          <w:bCs/>
          <w:color w:val="4472C4" w:themeColor="accent1"/>
          <w:sz w:val="36"/>
          <w:szCs w:val="36"/>
          <w:lang w:val="en-US"/>
        </w:rPr>
        <w:t xml:space="preserve">in the </w:t>
      </w:r>
      <w:r w:rsidRPr="00244481">
        <w:rPr>
          <w:b/>
          <w:bCs/>
          <w:color w:val="4472C4" w:themeColor="accent1"/>
          <w:sz w:val="36"/>
          <w:szCs w:val="36"/>
          <w:lang w:val="en-US"/>
        </w:rPr>
        <w:t xml:space="preserve">U.S. </w:t>
      </w:r>
    </w:p>
    <w:p w14:paraId="74966882" w14:textId="77777777" w:rsidR="00C756B8" w:rsidRPr="00244481" w:rsidRDefault="00C756B8" w:rsidP="000952F1">
      <w:pPr>
        <w:pStyle w:val="NoSpacing"/>
        <w:rPr>
          <w:rStyle w:val="xn-location"/>
          <w:rFonts w:cstheme="minorHAnsi"/>
          <w:b/>
          <w:bCs/>
          <w:i/>
          <w:iCs/>
          <w:color w:val="000000" w:themeColor="text1"/>
          <w:sz w:val="36"/>
          <w:szCs w:val="36"/>
        </w:rPr>
      </w:pPr>
    </w:p>
    <w:p w14:paraId="38B63793" w14:textId="4E299AAD" w:rsidR="00244481" w:rsidRPr="000952F1" w:rsidRDefault="00244481" w:rsidP="000952F1">
      <w:pPr>
        <w:pStyle w:val="NoSpacing"/>
        <w:rPr>
          <w:rFonts w:cstheme="minorHAnsi"/>
          <w:sz w:val="24"/>
          <w:szCs w:val="24"/>
        </w:rPr>
      </w:pPr>
      <w:r w:rsidRPr="000952F1">
        <w:rPr>
          <w:rStyle w:val="xn-location"/>
          <w:rFonts w:cstheme="minorHAnsi"/>
          <w:b/>
          <w:bCs/>
          <w:i/>
          <w:iCs/>
          <w:color w:val="000000" w:themeColor="text1"/>
          <w:sz w:val="24"/>
          <w:szCs w:val="24"/>
        </w:rPr>
        <w:t>BRIDGEWATER, New Jersey</w:t>
      </w:r>
      <w:r w:rsidRPr="000952F1">
        <w:rPr>
          <w:rFonts w:cstheme="minorHAnsi"/>
          <w:sz w:val="24"/>
          <w:szCs w:val="24"/>
        </w:rPr>
        <w:t xml:space="preserve"> </w:t>
      </w:r>
      <w:r w:rsidRPr="000952F1">
        <w:rPr>
          <w:rFonts w:cstheme="minorHAnsi"/>
          <w:i/>
          <w:iCs/>
          <w:sz w:val="24"/>
          <w:szCs w:val="24"/>
        </w:rPr>
        <w:t>and</w:t>
      </w:r>
      <w:r w:rsidRPr="000952F1">
        <w:rPr>
          <w:rFonts w:cstheme="minorHAnsi"/>
          <w:sz w:val="24"/>
          <w:szCs w:val="24"/>
        </w:rPr>
        <w:t xml:space="preserve"> </w:t>
      </w:r>
      <w:r w:rsidRPr="000952F1">
        <w:rPr>
          <w:rStyle w:val="Emphasis"/>
          <w:rFonts w:cstheme="minorHAnsi"/>
          <w:b/>
          <w:bCs/>
          <w:color w:val="000000" w:themeColor="text1"/>
          <w:sz w:val="24"/>
          <w:szCs w:val="24"/>
          <w:shd w:val="clear" w:color="auto" w:fill="FFFFFF"/>
        </w:rPr>
        <w:t>BENGALURU, Karnataka, India</w:t>
      </w:r>
      <w:r w:rsidRPr="000952F1">
        <w:rPr>
          <w:rFonts w:cstheme="minorHAnsi"/>
          <w:sz w:val="24"/>
          <w:szCs w:val="24"/>
        </w:rPr>
        <w:t xml:space="preserve">, April </w:t>
      </w:r>
      <w:r w:rsidR="00FA602C">
        <w:rPr>
          <w:rFonts w:cstheme="minorHAnsi"/>
          <w:sz w:val="24"/>
          <w:szCs w:val="24"/>
        </w:rPr>
        <w:t>15</w:t>
      </w:r>
      <w:r w:rsidRPr="000952F1">
        <w:rPr>
          <w:rFonts w:cstheme="minorHAnsi"/>
          <w:sz w:val="24"/>
          <w:szCs w:val="24"/>
        </w:rPr>
        <w:t>, 2025</w:t>
      </w:r>
    </w:p>
    <w:p w14:paraId="0D205294" w14:textId="77777777" w:rsidR="00244481" w:rsidRPr="000952F1" w:rsidRDefault="00244481" w:rsidP="00244481">
      <w:pPr>
        <w:pStyle w:val="xmsonormal"/>
        <w:spacing w:before="0" w:beforeAutospacing="0" w:after="0" w:afterAutospacing="0"/>
        <w:rPr>
          <w:rFonts w:asciiTheme="minorHAnsi" w:hAnsiTheme="minorHAnsi" w:cstheme="minorHAnsi"/>
          <w:b/>
          <w:bCs/>
          <w:i/>
          <w:iCs/>
          <w:sz w:val="24"/>
          <w:szCs w:val="24"/>
          <w:lang w:val="en-US"/>
        </w:rPr>
      </w:pPr>
    </w:p>
    <w:p w14:paraId="145B8DAF" w14:textId="566E6ADC" w:rsidR="00731B34" w:rsidRPr="000952F1" w:rsidRDefault="009574E6" w:rsidP="000952F1">
      <w:pPr>
        <w:pStyle w:val="xmsonormal"/>
        <w:spacing w:before="0" w:beforeAutospacing="0" w:after="0" w:afterAutospacing="0"/>
        <w:jc w:val="both"/>
        <w:rPr>
          <w:rFonts w:asciiTheme="minorHAnsi" w:hAnsiTheme="minorHAnsi" w:cstheme="minorHAnsi"/>
          <w:sz w:val="24"/>
          <w:szCs w:val="24"/>
          <w:lang w:val="en-US"/>
        </w:rPr>
      </w:pPr>
      <w:r w:rsidRPr="002C2FF0">
        <w:rPr>
          <w:rFonts w:asciiTheme="minorHAnsi" w:hAnsiTheme="minorHAnsi" w:cstheme="minorHAnsi"/>
          <w:b/>
          <w:bCs/>
          <w:sz w:val="24"/>
          <w:szCs w:val="24"/>
          <w:lang w:val="en-US"/>
        </w:rPr>
        <w:t>Biocon Biologics Ltd (BBL)</w:t>
      </w:r>
      <w:r w:rsidRPr="002C2FF0">
        <w:rPr>
          <w:rFonts w:asciiTheme="minorHAnsi" w:hAnsiTheme="minorHAnsi" w:cstheme="minorHAnsi"/>
          <w:sz w:val="24"/>
          <w:szCs w:val="24"/>
          <w:lang w:val="en-US"/>
        </w:rPr>
        <w:t>, a fully integrated global biosimilars company and subsidiary of Biocon Ltd</w:t>
      </w:r>
      <w:r w:rsidRPr="000952F1">
        <w:rPr>
          <w:rFonts w:asciiTheme="minorHAnsi" w:hAnsiTheme="minorHAnsi" w:cstheme="minorHAnsi"/>
          <w:i/>
          <w:iCs/>
          <w:sz w:val="24"/>
          <w:szCs w:val="24"/>
          <w:lang w:val="en-US"/>
        </w:rPr>
        <w:t xml:space="preserve"> </w:t>
      </w:r>
      <w:r w:rsidRPr="000952F1">
        <w:rPr>
          <w:rFonts w:asciiTheme="minorHAnsi" w:hAnsiTheme="minorHAnsi" w:cstheme="minorHAnsi"/>
          <w:sz w:val="24"/>
          <w:szCs w:val="24"/>
          <w:lang w:val="en-US"/>
        </w:rPr>
        <w:t xml:space="preserve">(BSE code: 532523, NSE: BIOCON), announced today a settlement and license agreement with </w:t>
      </w:r>
      <w:r w:rsidR="00731B34" w:rsidRPr="000952F1">
        <w:rPr>
          <w:rFonts w:asciiTheme="minorHAnsi" w:hAnsiTheme="minorHAnsi" w:cstheme="minorHAnsi"/>
          <w:sz w:val="24"/>
          <w:szCs w:val="24"/>
          <w:lang w:val="en-US"/>
        </w:rPr>
        <w:t xml:space="preserve">Regeneron </w:t>
      </w:r>
      <w:r w:rsidRPr="000952F1">
        <w:rPr>
          <w:rFonts w:asciiTheme="minorHAnsi" w:hAnsiTheme="minorHAnsi" w:cstheme="minorHAnsi"/>
          <w:sz w:val="24"/>
          <w:szCs w:val="24"/>
          <w:lang w:val="en-US"/>
        </w:rPr>
        <w:t xml:space="preserve">that clears the way to commercialize </w:t>
      </w:r>
      <w:r w:rsidR="00731B34" w:rsidRPr="000952F1">
        <w:rPr>
          <w:rFonts w:asciiTheme="minorHAnsi" w:hAnsiTheme="minorHAnsi" w:cstheme="minorHAnsi"/>
          <w:sz w:val="24"/>
          <w:szCs w:val="24"/>
          <w:lang w:val="en-US"/>
        </w:rPr>
        <w:t>Yesafili™ (aflibercept-jbvf), an interchangeable* biosimilar aflibercept, in the United States. YESAFILI, a vascular endothelial growth factor (VEGF) inhibitor, is used to treat several different types of ophthalmology conditions, is a biosimilar of its reference product EYLEA® (aflibercept).</w:t>
      </w:r>
    </w:p>
    <w:p w14:paraId="4D2373E7" w14:textId="77777777" w:rsidR="00244481" w:rsidRPr="000952F1" w:rsidRDefault="00244481" w:rsidP="000952F1">
      <w:pPr>
        <w:pStyle w:val="xmsonormal"/>
        <w:spacing w:before="0" w:beforeAutospacing="0" w:after="0" w:afterAutospacing="0"/>
        <w:jc w:val="both"/>
        <w:rPr>
          <w:rFonts w:asciiTheme="minorHAnsi" w:hAnsiTheme="minorHAnsi" w:cstheme="minorHAnsi"/>
          <w:sz w:val="24"/>
          <w:szCs w:val="24"/>
          <w:lang w:val="en-US"/>
        </w:rPr>
      </w:pPr>
    </w:p>
    <w:p w14:paraId="5688A305" w14:textId="089C8E71" w:rsidR="001C127C" w:rsidRPr="000952F1" w:rsidRDefault="00533D36" w:rsidP="007D00EE">
      <w:pPr>
        <w:pStyle w:val="xmsonormal"/>
        <w:spacing w:before="0" w:beforeAutospacing="0" w:after="0" w:afterAutospacing="0"/>
        <w:jc w:val="both"/>
        <w:rPr>
          <w:rFonts w:asciiTheme="minorHAnsi" w:hAnsiTheme="minorHAnsi" w:cstheme="minorHAnsi"/>
          <w:sz w:val="24"/>
          <w:szCs w:val="24"/>
          <w:lang w:val="en-US"/>
        </w:rPr>
      </w:pPr>
      <w:r w:rsidRPr="00533D36">
        <w:rPr>
          <w:rFonts w:asciiTheme="minorHAnsi" w:hAnsiTheme="minorHAnsi" w:cstheme="minorHAnsi"/>
          <w:sz w:val="24"/>
          <w:szCs w:val="24"/>
        </w:rPr>
        <w:t>Biocon Biologics and Regeneron executed the settlement agreement to dismiss the pending appeal at the United States Court of Appeals for the Federal Circuit (USCAFC) of patent US11084865 (‘865 patent) and the pending litigation at the U.S. District Court for the Northern District of West Virginia, Clarksburg Division</w:t>
      </w:r>
      <w:r w:rsidR="001C127C" w:rsidRPr="000952F1">
        <w:rPr>
          <w:rFonts w:asciiTheme="minorHAnsi" w:hAnsiTheme="minorHAnsi" w:cstheme="minorHAnsi"/>
          <w:sz w:val="24"/>
          <w:szCs w:val="24"/>
          <w:lang w:val="en-US"/>
        </w:rPr>
        <w:t>.</w:t>
      </w:r>
      <w:r w:rsidR="00C95214" w:rsidRPr="000952F1">
        <w:rPr>
          <w:rFonts w:asciiTheme="minorHAnsi" w:hAnsiTheme="minorHAnsi" w:cstheme="minorHAnsi"/>
          <w:sz w:val="24"/>
          <w:szCs w:val="24"/>
          <w:lang w:val="en-US"/>
        </w:rPr>
        <w:t xml:space="preserve"> </w:t>
      </w:r>
    </w:p>
    <w:p w14:paraId="13358E7A" w14:textId="77777777" w:rsidR="00244481" w:rsidRPr="000952F1" w:rsidRDefault="00244481" w:rsidP="007D00EE">
      <w:pPr>
        <w:pStyle w:val="xmsonormal"/>
        <w:spacing w:before="0" w:beforeAutospacing="0" w:after="0" w:afterAutospacing="0"/>
        <w:jc w:val="both"/>
        <w:rPr>
          <w:rFonts w:asciiTheme="minorHAnsi" w:hAnsiTheme="minorHAnsi" w:cstheme="minorHAnsi"/>
          <w:sz w:val="24"/>
          <w:szCs w:val="24"/>
          <w:lang w:val="en-US"/>
        </w:rPr>
      </w:pPr>
    </w:p>
    <w:p w14:paraId="5DFE4ED6" w14:textId="30EA4EA1" w:rsidR="007D00EE" w:rsidRPr="000952F1" w:rsidRDefault="001C127C" w:rsidP="007D00EE">
      <w:pPr>
        <w:pStyle w:val="xmsonormal"/>
        <w:spacing w:before="0" w:beforeAutospacing="0" w:after="0" w:afterAutospacing="0"/>
        <w:jc w:val="both"/>
        <w:rPr>
          <w:rFonts w:asciiTheme="minorHAnsi" w:hAnsiTheme="minorHAnsi" w:cstheme="minorHAnsi"/>
          <w:sz w:val="24"/>
          <w:szCs w:val="24"/>
          <w:lang w:val="en-US"/>
        </w:rPr>
      </w:pPr>
      <w:r w:rsidRPr="000952F1">
        <w:rPr>
          <w:rFonts w:asciiTheme="minorHAnsi" w:hAnsiTheme="minorHAnsi" w:cstheme="minorHAnsi"/>
          <w:sz w:val="24"/>
          <w:szCs w:val="24"/>
          <w:lang w:val="en-US"/>
        </w:rPr>
        <w:t xml:space="preserve">This agreement enables the Company to launch in the United States in </w:t>
      </w:r>
      <w:r w:rsidR="00C61C99">
        <w:rPr>
          <w:rFonts w:asciiTheme="minorHAnsi" w:hAnsiTheme="minorHAnsi" w:cstheme="minorHAnsi"/>
          <w:sz w:val="24"/>
          <w:szCs w:val="24"/>
          <w:lang w:val="en-US"/>
        </w:rPr>
        <w:t xml:space="preserve">the </w:t>
      </w:r>
      <w:r w:rsidR="00D96D09">
        <w:rPr>
          <w:rFonts w:asciiTheme="minorHAnsi" w:hAnsiTheme="minorHAnsi" w:cstheme="minorHAnsi"/>
          <w:sz w:val="24"/>
          <w:szCs w:val="24"/>
          <w:lang w:val="en-US"/>
        </w:rPr>
        <w:t>second half of calendar year 2026</w:t>
      </w:r>
      <w:r w:rsidR="007D00EE">
        <w:rPr>
          <w:rFonts w:asciiTheme="minorHAnsi" w:hAnsiTheme="minorHAnsi" w:cstheme="minorHAnsi"/>
          <w:sz w:val="24"/>
          <w:szCs w:val="24"/>
          <w:lang w:val="en-US"/>
        </w:rPr>
        <w:t xml:space="preserve"> or earlier in certain circumstances. The terms of the settlement are confidential. </w:t>
      </w:r>
    </w:p>
    <w:p w14:paraId="7852FAA6" w14:textId="77777777" w:rsidR="00244481" w:rsidRPr="000952F1" w:rsidRDefault="00244481" w:rsidP="000952F1">
      <w:pPr>
        <w:pStyle w:val="xmsonormal"/>
        <w:spacing w:before="0" w:beforeAutospacing="0" w:after="0" w:afterAutospacing="0"/>
        <w:jc w:val="both"/>
        <w:rPr>
          <w:rFonts w:asciiTheme="minorHAnsi" w:hAnsiTheme="minorHAnsi" w:cstheme="minorHAnsi"/>
          <w:sz w:val="24"/>
          <w:szCs w:val="24"/>
          <w:lang w:val="en-US"/>
        </w:rPr>
      </w:pPr>
    </w:p>
    <w:p w14:paraId="460E5AA7" w14:textId="27D74ADC" w:rsidR="00244481" w:rsidRPr="000952F1" w:rsidRDefault="00244481" w:rsidP="00244481">
      <w:pPr>
        <w:pStyle w:val="xmsonormal"/>
        <w:spacing w:before="0" w:beforeAutospacing="0" w:after="0" w:afterAutospacing="0"/>
        <w:rPr>
          <w:rFonts w:asciiTheme="minorHAnsi" w:hAnsiTheme="minorHAnsi" w:cstheme="minorHAnsi"/>
          <w:sz w:val="24"/>
          <w:szCs w:val="24"/>
          <w:lang w:val="en-US"/>
        </w:rPr>
      </w:pPr>
      <w:r w:rsidRPr="000952F1">
        <w:rPr>
          <w:rStyle w:val="Strong"/>
          <w:rFonts w:asciiTheme="minorHAnsi" w:hAnsiTheme="minorHAnsi" w:cstheme="minorHAnsi"/>
          <w:sz w:val="24"/>
          <w:szCs w:val="24"/>
        </w:rPr>
        <w:t>Shreehas Tambe, CEO &amp; Managing Director, Biocon Biologics Ltd.</w:t>
      </w:r>
      <w:r w:rsidRPr="000952F1">
        <w:rPr>
          <w:rFonts w:asciiTheme="minorHAnsi" w:hAnsiTheme="minorHAnsi" w:cstheme="minorHAnsi"/>
          <w:b/>
          <w:bCs/>
          <w:sz w:val="24"/>
          <w:szCs w:val="24"/>
        </w:rPr>
        <w:t>,</w:t>
      </w:r>
      <w:r w:rsidRPr="000952F1">
        <w:rPr>
          <w:rFonts w:asciiTheme="minorHAnsi" w:hAnsiTheme="minorHAnsi" w:cstheme="minorHAnsi"/>
          <w:b/>
          <w:sz w:val="24"/>
          <w:szCs w:val="24"/>
        </w:rPr>
        <w:t xml:space="preserve"> </w:t>
      </w:r>
      <w:r w:rsidRPr="000952F1">
        <w:rPr>
          <w:rFonts w:asciiTheme="minorHAnsi" w:hAnsiTheme="minorHAnsi" w:cstheme="minorHAnsi"/>
          <w:bCs/>
          <w:sz w:val="24"/>
          <w:szCs w:val="24"/>
        </w:rPr>
        <w:t xml:space="preserve">said: </w:t>
      </w:r>
      <w:r w:rsidRPr="000952F1">
        <w:rPr>
          <w:rFonts w:asciiTheme="minorHAnsi" w:hAnsiTheme="minorHAnsi" w:cstheme="minorHAnsi"/>
          <w:i/>
          <w:iCs/>
          <w:sz w:val="24"/>
          <w:szCs w:val="24"/>
        </w:rPr>
        <w:t>“</w:t>
      </w:r>
      <w:r w:rsidR="000952F1" w:rsidRPr="000952F1">
        <w:rPr>
          <w:rFonts w:asciiTheme="minorHAnsi" w:hAnsiTheme="minorHAnsi" w:cstheme="minorHAnsi"/>
          <w:i/>
          <w:iCs/>
          <w:sz w:val="24"/>
          <w:szCs w:val="24"/>
        </w:rPr>
        <w:t xml:space="preserve">This settlement clears the path for Biocon Biologics to be among the first to bring a reliable, high-quality aflibercept biosimilar to patients and healthcare providers in the United States. As the first-to-file interchangeable biosimilar to Eylea®, YESAFILI </w:t>
      </w:r>
      <w:r w:rsidR="00D96D09">
        <w:rPr>
          <w:rFonts w:asciiTheme="minorHAnsi" w:hAnsiTheme="minorHAnsi" w:cstheme="minorHAnsi"/>
          <w:i/>
          <w:iCs/>
          <w:sz w:val="24"/>
          <w:szCs w:val="24"/>
        </w:rPr>
        <w:t xml:space="preserve">affirms </w:t>
      </w:r>
      <w:r w:rsidR="000952F1" w:rsidRPr="000952F1">
        <w:rPr>
          <w:rFonts w:asciiTheme="minorHAnsi" w:hAnsiTheme="minorHAnsi" w:cstheme="minorHAnsi"/>
          <w:i/>
          <w:iCs/>
          <w:sz w:val="24"/>
          <w:szCs w:val="24"/>
        </w:rPr>
        <w:t>our scientific strength and marks our strategic entry into Ophthalmology, expanding our footprint in the U.S. and advancing our mission to increase access to life-changing treatments.”</w:t>
      </w:r>
    </w:p>
    <w:p w14:paraId="26789358" w14:textId="77777777" w:rsidR="00244481" w:rsidRPr="000952F1" w:rsidRDefault="00244481" w:rsidP="00244481">
      <w:pPr>
        <w:pStyle w:val="xmsonormal"/>
        <w:spacing w:before="0" w:beforeAutospacing="0" w:after="0" w:afterAutospacing="0"/>
        <w:rPr>
          <w:rFonts w:asciiTheme="minorHAnsi" w:hAnsiTheme="minorHAnsi" w:cstheme="minorHAnsi"/>
          <w:sz w:val="24"/>
          <w:szCs w:val="24"/>
          <w:lang w:val="en-US"/>
        </w:rPr>
      </w:pPr>
    </w:p>
    <w:p w14:paraId="2B6B46D1" w14:textId="530ECD2E" w:rsidR="007E1A9E" w:rsidRPr="000952F1" w:rsidRDefault="001C127C" w:rsidP="000952F1">
      <w:pPr>
        <w:pStyle w:val="xmsonormal"/>
        <w:spacing w:before="0" w:beforeAutospacing="0" w:after="0" w:afterAutospacing="0"/>
        <w:jc w:val="both"/>
        <w:rPr>
          <w:rFonts w:asciiTheme="minorHAnsi" w:hAnsiTheme="minorHAnsi" w:cstheme="minorHAnsi"/>
          <w:sz w:val="24"/>
          <w:szCs w:val="24"/>
        </w:rPr>
      </w:pPr>
      <w:r w:rsidRPr="000952F1">
        <w:rPr>
          <w:rFonts w:asciiTheme="minorHAnsi" w:hAnsiTheme="minorHAnsi" w:cstheme="minorHAnsi"/>
          <w:sz w:val="24"/>
          <w:szCs w:val="24"/>
          <w:lang w:val="en-US"/>
        </w:rPr>
        <w:t xml:space="preserve">Previously, </w:t>
      </w:r>
      <w:r w:rsidR="00085294">
        <w:rPr>
          <w:rFonts w:asciiTheme="minorHAnsi" w:hAnsiTheme="minorHAnsi" w:cstheme="minorHAnsi"/>
          <w:sz w:val="24"/>
          <w:szCs w:val="24"/>
          <w:lang w:val="en-US"/>
        </w:rPr>
        <w:t xml:space="preserve">the </w:t>
      </w:r>
      <w:r w:rsidR="001520F8" w:rsidRPr="000952F1">
        <w:rPr>
          <w:rFonts w:asciiTheme="minorHAnsi" w:hAnsiTheme="minorHAnsi" w:cstheme="minorHAnsi"/>
          <w:sz w:val="24"/>
          <w:szCs w:val="24"/>
        </w:rPr>
        <w:t xml:space="preserve">U.S. Food and Drug Administration (U.S. FDA) </w:t>
      </w:r>
      <w:hyperlink r:id="rId7" w:history="1">
        <w:r w:rsidR="001520F8" w:rsidRPr="000952F1">
          <w:rPr>
            <w:rStyle w:val="Hyperlink"/>
            <w:rFonts w:asciiTheme="minorHAnsi" w:hAnsiTheme="minorHAnsi" w:cstheme="minorHAnsi"/>
            <w:sz w:val="24"/>
            <w:szCs w:val="24"/>
          </w:rPr>
          <w:t xml:space="preserve">approved </w:t>
        </w:r>
        <w:proofErr w:type="spellStart"/>
        <w:r w:rsidR="001520F8" w:rsidRPr="000952F1">
          <w:rPr>
            <w:rStyle w:val="Hyperlink"/>
            <w:rFonts w:asciiTheme="minorHAnsi" w:hAnsiTheme="minorHAnsi" w:cstheme="minorHAnsi"/>
            <w:sz w:val="24"/>
            <w:szCs w:val="24"/>
          </w:rPr>
          <w:t>Yesafili</w:t>
        </w:r>
        <w:proofErr w:type="spellEnd"/>
        <w:r w:rsidR="001520F8" w:rsidRPr="000952F1">
          <w:rPr>
            <w:rStyle w:val="Hyperlink"/>
            <w:rFonts w:asciiTheme="minorHAnsi" w:hAnsiTheme="minorHAnsi" w:cstheme="minorHAnsi"/>
            <w:sz w:val="24"/>
            <w:szCs w:val="24"/>
          </w:rPr>
          <w:t>™ (aflibercept-</w:t>
        </w:r>
        <w:proofErr w:type="spellStart"/>
        <w:r w:rsidR="001520F8" w:rsidRPr="000952F1">
          <w:rPr>
            <w:rStyle w:val="Hyperlink"/>
            <w:rFonts w:asciiTheme="minorHAnsi" w:hAnsiTheme="minorHAnsi" w:cstheme="minorHAnsi"/>
            <w:sz w:val="24"/>
            <w:szCs w:val="24"/>
          </w:rPr>
          <w:t>jbvf</w:t>
        </w:r>
        <w:proofErr w:type="spellEnd"/>
        <w:r w:rsidR="001520F8" w:rsidRPr="000952F1">
          <w:rPr>
            <w:rStyle w:val="Hyperlink"/>
            <w:rFonts w:asciiTheme="minorHAnsi" w:hAnsiTheme="minorHAnsi" w:cstheme="minorHAnsi"/>
            <w:sz w:val="24"/>
            <w:szCs w:val="24"/>
          </w:rPr>
          <w:t>)</w:t>
        </w:r>
      </w:hyperlink>
      <w:r w:rsidR="001520F8" w:rsidRPr="000952F1">
        <w:rPr>
          <w:rFonts w:asciiTheme="minorHAnsi" w:hAnsiTheme="minorHAnsi" w:cstheme="minorHAnsi"/>
          <w:sz w:val="24"/>
          <w:szCs w:val="24"/>
        </w:rPr>
        <w:t>, an interchangeable* biosimilar aflibercept in May 2024.</w:t>
      </w:r>
      <w:r w:rsidR="007E1A9E" w:rsidRPr="000952F1">
        <w:rPr>
          <w:rFonts w:asciiTheme="minorHAnsi" w:hAnsiTheme="minorHAnsi" w:cstheme="minorHAnsi"/>
          <w:sz w:val="24"/>
          <w:szCs w:val="24"/>
        </w:rPr>
        <w:t xml:space="preserve"> </w:t>
      </w:r>
      <w:r w:rsidRPr="000952F1">
        <w:rPr>
          <w:rFonts w:asciiTheme="minorHAnsi" w:hAnsiTheme="minorHAnsi" w:cstheme="minorHAnsi"/>
          <w:sz w:val="24"/>
          <w:szCs w:val="24"/>
        </w:rPr>
        <w:t xml:space="preserve">Additionally, </w:t>
      </w:r>
      <w:r w:rsidR="007E1A9E" w:rsidRPr="000952F1">
        <w:rPr>
          <w:rFonts w:asciiTheme="minorHAnsi" w:hAnsiTheme="minorHAnsi" w:cstheme="minorHAnsi"/>
          <w:sz w:val="24"/>
          <w:szCs w:val="24"/>
        </w:rPr>
        <w:t xml:space="preserve">Biocon Biologics secured a </w:t>
      </w:r>
      <w:hyperlink r:id="rId8" w:history="1">
        <w:r w:rsidR="007E1A9E" w:rsidRPr="000952F1">
          <w:rPr>
            <w:rStyle w:val="Hyperlink"/>
            <w:rFonts w:asciiTheme="minorHAnsi" w:hAnsiTheme="minorHAnsi" w:cstheme="minorHAnsi"/>
            <w:sz w:val="24"/>
            <w:szCs w:val="24"/>
          </w:rPr>
          <w:t>settlement agreement in Canada</w:t>
        </w:r>
      </w:hyperlink>
      <w:r w:rsidR="007E1A9E" w:rsidRPr="000952F1">
        <w:rPr>
          <w:rFonts w:asciiTheme="minorHAnsi" w:hAnsiTheme="minorHAnsi" w:cstheme="minorHAnsi"/>
          <w:sz w:val="24"/>
          <w:szCs w:val="24"/>
        </w:rPr>
        <w:t xml:space="preserve"> with Bayer Inc. and Regeneron Pharmaceuticals, Inc., for the launch of YESAFILI</w:t>
      </w:r>
      <w:r w:rsidR="00CE7D59">
        <w:rPr>
          <w:rFonts w:asciiTheme="minorHAnsi" w:hAnsiTheme="minorHAnsi" w:cstheme="minorHAnsi"/>
          <w:sz w:val="24"/>
          <w:szCs w:val="24"/>
        </w:rPr>
        <w:t>™</w:t>
      </w:r>
      <w:r w:rsidR="00CE7D59" w:rsidRPr="000952F1">
        <w:rPr>
          <w:rFonts w:asciiTheme="minorHAnsi" w:hAnsiTheme="minorHAnsi" w:cstheme="minorHAnsi"/>
          <w:sz w:val="24"/>
          <w:szCs w:val="24"/>
        </w:rPr>
        <w:t xml:space="preserve"> </w:t>
      </w:r>
      <w:r w:rsidR="007E1A9E" w:rsidRPr="000952F1">
        <w:rPr>
          <w:rFonts w:asciiTheme="minorHAnsi" w:hAnsiTheme="minorHAnsi" w:cstheme="minorHAnsi"/>
          <w:sz w:val="24"/>
          <w:szCs w:val="24"/>
        </w:rPr>
        <w:t>no later than July 1, 2025.</w:t>
      </w:r>
    </w:p>
    <w:p w14:paraId="13D7B6F6" w14:textId="77777777" w:rsidR="00244481" w:rsidRPr="000952F1" w:rsidRDefault="00244481" w:rsidP="000952F1">
      <w:pPr>
        <w:pStyle w:val="xmsonormal"/>
        <w:spacing w:before="0" w:beforeAutospacing="0" w:after="0" w:afterAutospacing="0"/>
        <w:jc w:val="both"/>
        <w:rPr>
          <w:rFonts w:asciiTheme="minorHAnsi" w:hAnsiTheme="minorHAnsi" w:cstheme="minorHAnsi"/>
          <w:sz w:val="24"/>
          <w:szCs w:val="24"/>
        </w:rPr>
      </w:pPr>
    </w:p>
    <w:p w14:paraId="5CCF2760" w14:textId="77777777" w:rsidR="00731B34" w:rsidRPr="000952F1" w:rsidRDefault="00731B34" w:rsidP="000952F1">
      <w:pPr>
        <w:pStyle w:val="xmsonormal"/>
        <w:spacing w:before="0" w:beforeAutospacing="0" w:after="0" w:afterAutospacing="0"/>
        <w:jc w:val="both"/>
        <w:rPr>
          <w:rFonts w:asciiTheme="minorHAnsi" w:hAnsiTheme="minorHAnsi" w:cstheme="minorHAnsi"/>
          <w:sz w:val="24"/>
          <w:szCs w:val="24"/>
          <w:lang w:val="en-US"/>
        </w:rPr>
      </w:pPr>
      <w:r w:rsidRPr="000952F1">
        <w:rPr>
          <w:rFonts w:asciiTheme="minorHAnsi" w:hAnsiTheme="minorHAnsi" w:cstheme="minorHAnsi"/>
          <w:sz w:val="24"/>
          <w:szCs w:val="24"/>
          <w:lang w:val="en-US"/>
        </w:rPr>
        <w:t xml:space="preserve">YESAFILI is intended for the treatment of neovascular (wet AMD) age-related macular degeneration, visual impairment due to macular oedema secondary to retinal vein occlusion (branch RVO or central RVO), visual impairment due to diabetic macular oedema (DME) and visual impairment due to myopic choroidal neovascularisation (myopic CNV). It is highly </w:t>
      </w:r>
      <w:proofErr w:type="gramStart"/>
      <w:r w:rsidRPr="000952F1">
        <w:rPr>
          <w:rFonts w:asciiTheme="minorHAnsi" w:hAnsiTheme="minorHAnsi" w:cstheme="minorHAnsi"/>
          <w:sz w:val="24"/>
          <w:szCs w:val="24"/>
          <w:lang w:val="en-US"/>
        </w:rPr>
        <w:t>similar to</w:t>
      </w:r>
      <w:proofErr w:type="gramEnd"/>
      <w:r w:rsidRPr="000952F1">
        <w:rPr>
          <w:rFonts w:asciiTheme="minorHAnsi" w:hAnsiTheme="minorHAnsi" w:cstheme="minorHAnsi"/>
          <w:sz w:val="24"/>
          <w:szCs w:val="24"/>
          <w:lang w:val="en-US"/>
        </w:rPr>
        <w:t xml:space="preserve"> the reference product Eylea® (aflibercept). Data shows that YESAFILI has comparable quality, safety, and efficacy to Eylea®.</w:t>
      </w:r>
    </w:p>
    <w:p w14:paraId="0D7F7F58" w14:textId="77777777" w:rsidR="00244481" w:rsidRPr="000952F1" w:rsidRDefault="00244481" w:rsidP="000952F1">
      <w:pPr>
        <w:widowControl w:val="0"/>
        <w:autoSpaceDE w:val="0"/>
        <w:autoSpaceDN w:val="0"/>
        <w:adjustRightInd w:val="0"/>
        <w:spacing w:after="0" w:line="240" w:lineRule="auto"/>
        <w:jc w:val="both"/>
        <w:rPr>
          <w:rFonts w:cstheme="minorHAnsi"/>
          <w:sz w:val="24"/>
          <w:szCs w:val="24"/>
        </w:rPr>
      </w:pPr>
    </w:p>
    <w:p w14:paraId="157E6E4C" w14:textId="366FD8ED" w:rsidR="00244481" w:rsidRPr="000952F1" w:rsidRDefault="00244481" w:rsidP="000952F1">
      <w:pPr>
        <w:spacing w:after="0" w:line="240" w:lineRule="auto"/>
        <w:jc w:val="both"/>
        <w:rPr>
          <w:rFonts w:cstheme="minorHAnsi"/>
          <w:sz w:val="24"/>
          <w:szCs w:val="24"/>
        </w:rPr>
      </w:pPr>
      <w:r w:rsidRPr="000952F1">
        <w:rPr>
          <w:rFonts w:cstheme="minorHAnsi"/>
          <w:sz w:val="24"/>
          <w:szCs w:val="24"/>
        </w:rPr>
        <w:t xml:space="preserve">*An interchangeable product (IP) is a biological product that is approved based on data demonstrating that it is highly similar to an FDA-approved reference product (RP) and that </w:t>
      </w:r>
      <w:r w:rsidR="00FA602C">
        <w:rPr>
          <w:rFonts w:cstheme="minorHAnsi"/>
          <w:sz w:val="24"/>
          <w:szCs w:val="24"/>
        </w:rPr>
        <w:t xml:space="preserve"> </w:t>
      </w:r>
      <w:r w:rsidRPr="000952F1">
        <w:rPr>
          <w:rFonts w:cstheme="minorHAnsi"/>
          <w:sz w:val="24"/>
          <w:szCs w:val="24"/>
        </w:rPr>
        <w:t xml:space="preserve">there are no clinically meaningful differences between the products; it can be expected to </w:t>
      </w:r>
      <w:r w:rsidRPr="000952F1">
        <w:rPr>
          <w:rFonts w:cstheme="minorHAnsi"/>
          <w:sz w:val="24"/>
          <w:szCs w:val="24"/>
        </w:rPr>
        <w:lastRenderedPageBreak/>
        <w:t>produce the same clinical result as the RP in any given patient; and if administered more than once to a patient, the risk in terms of safety or diminished efficacy from alternating or switching between use of the RP and IP is not greater than that from the RP without such alternation or switch. Interchangeability of YESAFILI has been demonstrated for the condition(s) of use, strength(s), dosage form(s), and route(s) of administration described in its Full Prescribing Information.</w:t>
      </w:r>
    </w:p>
    <w:p w14:paraId="57F51B21" w14:textId="77777777" w:rsidR="000952F1" w:rsidRDefault="000952F1" w:rsidP="000952F1">
      <w:pPr>
        <w:shd w:val="clear" w:color="auto" w:fill="FFFFFF"/>
        <w:spacing w:after="0" w:line="240" w:lineRule="auto"/>
        <w:jc w:val="both"/>
        <w:rPr>
          <w:rFonts w:cstheme="minorHAnsi"/>
          <w:b/>
          <w:bCs/>
          <w:color w:val="000000"/>
          <w:u w:val="single"/>
        </w:rPr>
      </w:pPr>
    </w:p>
    <w:p w14:paraId="51ABE008" w14:textId="02E64BC3" w:rsidR="00244481" w:rsidRPr="000952F1" w:rsidRDefault="00244481" w:rsidP="000952F1">
      <w:pPr>
        <w:shd w:val="clear" w:color="auto" w:fill="FFFFFF"/>
        <w:spacing w:after="0" w:line="240" w:lineRule="auto"/>
        <w:jc w:val="both"/>
        <w:rPr>
          <w:rFonts w:cstheme="minorHAnsi"/>
          <w:b/>
          <w:bCs/>
          <w:sz w:val="24"/>
          <w:szCs w:val="24"/>
          <w:u w:val="single"/>
        </w:rPr>
      </w:pPr>
      <w:r w:rsidRPr="000952F1">
        <w:rPr>
          <w:rFonts w:cstheme="minorHAnsi"/>
          <w:b/>
          <w:bCs/>
          <w:color w:val="000000"/>
          <w:sz w:val="24"/>
          <w:szCs w:val="24"/>
          <w:u w:val="single"/>
        </w:rPr>
        <w:t>About YESAFILI:</w:t>
      </w:r>
    </w:p>
    <w:p w14:paraId="49BE7403" w14:textId="23559D15" w:rsidR="00244481" w:rsidRDefault="00244481" w:rsidP="000952F1">
      <w:pPr>
        <w:pStyle w:val="NormalWeb"/>
        <w:spacing w:before="0" w:beforeAutospacing="0" w:after="0" w:afterAutospacing="0"/>
        <w:rPr>
          <w:rFonts w:asciiTheme="minorHAnsi" w:hAnsiTheme="minorHAnsi" w:cstheme="minorHAnsi"/>
        </w:rPr>
      </w:pPr>
      <w:r w:rsidRPr="008A18AA">
        <w:rPr>
          <w:rFonts w:asciiTheme="minorHAnsi" w:hAnsiTheme="minorHAnsi" w:cstheme="minorHAnsi"/>
        </w:rPr>
        <w:t xml:space="preserve">The approval for YESAFILI (aflibercept-jbvf) was based on a comprehensive package of analytical, nonclinical and clinical data, which confirmed that YESAFILI is highly </w:t>
      </w:r>
      <w:proofErr w:type="gramStart"/>
      <w:r w:rsidRPr="008A18AA">
        <w:rPr>
          <w:rFonts w:asciiTheme="minorHAnsi" w:hAnsiTheme="minorHAnsi" w:cstheme="minorHAnsi"/>
        </w:rPr>
        <w:t>similar to</w:t>
      </w:r>
      <w:proofErr w:type="gramEnd"/>
      <w:r w:rsidRPr="008A18AA">
        <w:rPr>
          <w:rFonts w:asciiTheme="minorHAnsi" w:hAnsiTheme="minorHAnsi" w:cstheme="minorHAnsi"/>
        </w:rPr>
        <w:t xml:space="preserve"> Eylea®. In a Phase 3 INSIGHT Study, YESAFILI was compared with Eylea® in patients with Diabetic Macular Edema. Study demonstrated that there were no clinically meaningful differences between YESAFILI and Eylea in terms of pharmacokinetics, safety, efficacy, and immunogenicity.  </w:t>
      </w:r>
    </w:p>
    <w:p w14:paraId="2A758084" w14:textId="77777777" w:rsidR="00244481" w:rsidRPr="008A18AA" w:rsidRDefault="00244481" w:rsidP="00244481">
      <w:pPr>
        <w:pStyle w:val="NormalWeb"/>
        <w:spacing w:before="0" w:beforeAutospacing="0" w:after="0" w:afterAutospacing="0"/>
        <w:rPr>
          <w:rFonts w:asciiTheme="minorHAnsi" w:hAnsiTheme="minorHAnsi" w:cstheme="minorHAnsi"/>
        </w:rPr>
      </w:pPr>
    </w:p>
    <w:p w14:paraId="78D0113B" w14:textId="77777777" w:rsidR="00244481" w:rsidRPr="008A18AA" w:rsidRDefault="00244481" w:rsidP="00244481">
      <w:pPr>
        <w:pStyle w:val="NormalWeb"/>
        <w:spacing w:before="0" w:beforeAutospacing="0" w:after="0" w:afterAutospacing="0"/>
        <w:rPr>
          <w:rFonts w:asciiTheme="minorHAnsi" w:hAnsiTheme="minorHAnsi" w:cstheme="minorHAnsi"/>
          <w:b/>
          <w:bCs/>
          <w:u w:val="single"/>
        </w:rPr>
      </w:pPr>
      <w:r w:rsidRPr="008A18AA">
        <w:rPr>
          <w:rFonts w:asciiTheme="minorHAnsi" w:hAnsiTheme="minorHAnsi" w:cstheme="minorHAnsi"/>
          <w:b/>
          <w:bCs/>
          <w:u w:val="single"/>
        </w:rPr>
        <w:t xml:space="preserve">INDICATIONS AND USAGE: </w:t>
      </w:r>
    </w:p>
    <w:p w14:paraId="6131F6FF" w14:textId="77777777" w:rsidR="00244481" w:rsidRPr="008A18AA" w:rsidRDefault="00244481" w:rsidP="00244481">
      <w:pPr>
        <w:pStyle w:val="NormalWeb"/>
        <w:spacing w:before="0" w:beforeAutospacing="0" w:after="0" w:afterAutospacing="0"/>
        <w:rPr>
          <w:rFonts w:asciiTheme="minorHAnsi" w:hAnsiTheme="minorHAnsi" w:cstheme="minorHAnsi"/>
        </w:rPr>
      </w:pPr>
      <w:r w:rsidRPr="008A18AA">
        <w:rPr>
          <w:rFonts w:asciiTheme="minorHAnsi" w:hAnsiTheme="minorHAnsi" w:cstheme="minorHAnsi"/>
        </w:rPr>
        <w:t xml:space="preserve">YESAFILI is a vascular endothelial growth factor (VEGF) inhibitor indicated for the treatment of patients with: </w:t>
      </w:r>
    </w:p>
    <w:p w14:paraId="54DD8A7F" w14:textId="77777777" w:rsidR="00244481" w:rsidRPr="008A18AA" w:rsidRDefault="00244481" w:rsidP="00244481">
      <w:pPr>
        <w:pStyle w:val="NormalWeb"/>
        <w:numPr>
          <w:ilvl w:val="0"/>
          <w:numId w:val="3"/>
        </w:numPr>
        <w:spacing w:before="0" w:beforeAutospacing="0" w:after="0" w:afterAutospacing="0"/>
        <w:rPr>
          <w:rFonts w:asciiTheme="minorHAnsi" w:hAnsiTheme="minorHAnsi" w:cstheme="minorHAnsi"/>
        </w:rPr>
      </w:pPr>
      <w:r w:rsidRPr="008A18AA">
        <w:rPr>
          <w:rFonts w:asciiTheme="minorHAnsi" w:hAnsiTheme="minorHAnsi" w:cstheme="minorHAnsi"/>
        </w:rPr>
        <w:t>Neovascular (Wet) Age-Related Macular Degeneration (AMD)</w:t>
      </w:r>
    </w:p>
    <w:p w14:paraId="52171FA0" w14:textId="77777777" w:rsidR="00244481" w:rsidRPr="008A18AA" w:rsidRDefault="00244481" w:rsidP="00244481">
      <w:pPr>
        <w:pStyle w:val="NormalWeb"/>
        <w:numPr>
          <w:ilvl w:val="0"/>
          <w:numId w:val="3"/>
        </w:numPr>
        <w:spacing w:before="0" w:beforeAutospacing="0" w:after="0" w:afterAutospacing="0"/>
        <w:rPr>
          <w:rFonts w:asciiTheme="minorHAnsi" w:hAnsiTheme="minorHAnsi" w:cstheme="minorHAnsi"/>
        </w:rPr>
      </w:pPr>
      <w:r w:rsidRPr="008A18AA">
        <w:rPr>
          <w:rFonts w:asciiTheme="minorHAnsi" w:hAnsiTheme="minorHAnsi" w:cstheme="minorHAnsi"/>
        </w:rPr>
        <w:t xml:space="preserve">Macular Edema Following Retinal Vein Occlusion (RVO) </w:t>
      </w:r>
    </w:p>
    <w:p w14:paraId="5C250FC5" w14:textId="77777777" w:rsidR="00244481" w:rsidRPr="008A18AA" w:rsidRDefault="00244481" w:rsidP="00244481">
      <w:pPr>
        <w:pStyle w:val="NormalWeb"/>
        <w:numPr>
          <w:ilvl w:val="0"/>
          <w:numId w:val="3"/>
        </w:numPr>
        <w:spacing w:before="0" w:beforeAutospacing="0" w:after="0" w:afterAutospacing="0"/>
        <w:rPr>
          <w:rFonts w:asciiTheme="minorHAnsi" w:hAnsiTheme="minorHAnsi" w:cstheme="minorHAnsi"/>
        </w:rPr>
      </w:pPr>
      <w:r w:rsidRPr="008A18AA">
        <w:rPr>
          <w:rFonts w:asciiTheme="minorHAnsi" w:hAnsiTheme="minorHAnsi" w:cstheme="minorHAnsi"/>
        </w:rPr>
        <w:t xml:space="preserve">Diabetic Macular Edema (DME) </w:t>
      </w:r>
    </w:p>
    <w:p w14:paraId="14DADFD2" w14:textId="77777777" w:rsidR="00244481" w:rsidRPr="008A18AA" w:rsidRDefault="00244481" w:rsidP="00244481">
      <w:pPr>
        <w:pStyle w:val="NormalWeb"/>
        <w:numPr>
          <w:ilvl w:val="0"/>
          <w:numId w:val="3"/>
        </w:numPr>
        <w:spacing w:before="0" w:beforeAutospacing="0" w:after="0" w:afterAutospacing="0"/>
        <w:rPr>
          <w:rFonts w:asciiTheme="minorHAnsi" w:hAnsiTheme="minorHAnsi" w:cstheme="minorHAnsi"/>
        </w:rPr>
      </w:pPr>
      <w:r w:rsidRPr="008A18AA">
        <w:rPr>
          <w:rFonts w:asciiTheme="minorHAnsi" w:hAnsiTheme="minorHAnsi" w:cstheme="minorHAnsi"/>
        </w:rPr>
        <w:t xml:space="preserve">Diabetic Retinopathy (DR) </w:t>
      </w:r>
    </w:p>
    <w:p w14:paraId="2BC93A4E" w14:textId="77777777" w:rsidR="00244481" w:rsidRPr="008A18AA" w:rsidRDefault="00244481" w:rsidP="00244481">
      <w:pPr>
        <w:pStyle w:val="NormalWeb"/>
        <w:spacing w:before="0" w:beforeAutospacing="0" w:after="0" w:afterAutospacing="0"/>
        <w:rPr>
          <w:rFonts w:asciiTheme="minorHAnsi" w:hAnsiTheme="minorHAnsi" w:cstheme="minorHAnsi"/>
        </w:rPr>
      </w:pPr>
    </w:p>
    <w:p w14:paraId="61CE92F5" w14:textId="77777777" w:rsidR="00244481" w:rsidRPr="008A18AA" w:rsidRDefault="00244481" w:rsidP="00244481">
      <w:pPr>
        <w:autoSpaceDE w:val="0"/>
        <w:autoSpaceDN w:val="0"/>
        <w:rPr>
          <w:rFonts w:cstheme="minorHAnsi"/>
          <w:b/>
          <w:bCs/>
          <w:u w:val="single"/>
        </w:rPr>
      </w:pPr>
      <w:r w:rsidRPr="008A18AA">
        <w:rPr>
          <w:rFonts w:cstheme="minorHAnsi"/>
          <w:b/>
          <w:bCs/>
          <w:u w:val="single"/>
        </w:rPr>
        <w:t>WARNINGS AND PRECAUTIONS:</w:t>
      </w:r>
    </w:p>
    <w:p w14:paraId="4CE8ABED" w14:textId="77777777" w:rsidR="00244481" w:rsidRPr="008A18AA" w:rsidRDefault="00244481" w:rsidP="00244481">
      <w:pPr>
        <w:pStyle w:val="NormalWeb"/>
        <w:numPr>
          <w:ilvl w:val="0"/>
          <w:numId w:val="3"/>
        </w:numPr>
        <w:spacing w:before="0" w:beforeAutospacing="0" w:after="0" w:afterAutospacing="0"/>
        <w:rPr>
          <w:rFonts w:asciiTheme="minorHAnsi" w:hAnsiTheme="minorHAnsi" w:cstheme="minorHAnsi"/>
        </w:rPr>
      </w:pPr>
      <w:r w:rsidRPr="008A18AA">
        <w:rPr>
          <w:rFonts w:asciiTheme="minorHAnsi" w:hAnsiTheme="minorHAnsi" w:cstheme="minorHAnsi"/>
        </w:rPr>
        <w:t>YESAFILI is contraindicated in patients with Ocular or periocular infection, Active intraocular inflammation and Hypersensitivity to aflibercept</w:t>
      </w:r>
      <w:r>
        <w:rPr>
          <w:rFonts w:asciiTheme="minorHAnsi" w:hAnsiTheme="minorHAnsi" w:cstheme="minorHAnsi"/>
        </w:rPr>
        <w:t>.</w:t>
      </w:r>
      <w:r w:rsidRPr="008A18AA">
        <w:rPr>
          <w:rFonts w:asciiTheme="minorHAnsi" w:hAnsiTheme="minorHAnsi" w:cstheme="minorHAnsi"/>
        </w:rPr>
        <w:t xml:space="preserve"> </w:t>
      </w:r>
    </w:p>
    <w:p w14:paraId="151884A8" w14:textId="77777777" w:rsidR="00244481" w:rsidRPr="008A18AA" w:rsidRDefault="00244481" w:rsidP="00244481">
      <w:pPr>
        <w:pStyle w:val="NormalWeb"/>
        <w:numPr>
          <w:ilvl w:val="0"/>
          <w:numId w:val="3"/>
        </w:numPr>
        <w:spacing w:before="0" w:beforeAutospacing="0" w:after="0" w:afterAutospacing="0"/>
        <w:rPr>
          <w:rFonts w:asciiTheme="minorHAnsi" w:hAnsiTheme="minorHAnsi" w:cstheme="minorHAnsi"/>
        </w:rPr>
      </w:pPr>
      <w:r w:rsidRPr="008A18AA">
        <w:rPr>
          <w:rFonts w:asciiTheme="minorHAnsi" w:hAnsiTheme="minorHAnsi" w:cstheme="minorHAnsi"/>
        </w:rPr>
        <w:t>Endophthalmitis, retinal detachments, and retinal vasculitis with or without occlusion may occur following intravitreal injections. Patients and/or caregivers should be instructed to report any signs and/or symptoms suggestive of endophthalmitis, retinal detachment, or retinal vasculitis without delay and should be managed appropriately.</w:t>
      </w:r>
    </w:p>
    <w:p w14:paraId="68A5E789" w14:textId="77777777" w:rsidR="00244481" w:rsidRPr="008A18AA" w:rsidRDefault="00244481" w:rsidP="00244481">
      <w:pPr>
        <w:pStyle w:val="NormalWeb"/>
        <w:numPr>
          <w:ilvl w:val="0"/>
          <w:numId w:val="3"/>
        </w:numPr>
        <w:spacing w:before="0" w:beforeAutospacing="0" w:after="0" w:afterAutospacing="0"/>
        <w:rPr>
          <w:rFonts w:asciiTheme="minorHAnsi" w:hAnsiTheme="minorHAnsi" w:cstheme="minorHAnsi"/>
        </w:rPr>
      </w:pPr>
      <w:r w:rsidRPr="008A18AA">
        <w:rPr>
          <w:rFonts w:asciiTheme="minorHAnsi" w:hAnsiTheme="minorHAnsi" w:cstheme="minorHAnsi"/>
        </w:rPr>
        <w:t xml:space="preserve">Increases in intraocular pressure have been seen within 60 minutes of an intravitreal injection. </w:t>
      </w:r>
    </w:p>
    <w:p w14:paraId="3FB0700D" w14:textId="77777777" w:rsidR="00244481" w:rsidRPr="008A18AA" w:rsidRDefault="00244481" w:rsidP="00244481">
      <w:pPr>
        <w:pStyle w:val="NormalWeb"/>
        <w:numPr>
          <w:ilvl w:val="0"/>
          <w:numId w:val="3"/>
        </w:numPr>
        <w:spacing w:before="0" w:beforeAutospacing="0" w:after="0" w:afterAutospacing="0"/>
        <w:rPr>
          <w:rFonts w:asciiTheme="minorHAnsi" w:hAnsiTheme="minorHAnsi" w:cstheme="minorHAnsi"/>
        </w:rPr>
      </w:pPr>
      <w:r w:rsidRPr="008A18AA">
        <w:rPr>
          <w:rFonts w:asciiTheme="minorHAnsi" w:hAnsiTheme="minorHAnsi" w:cstheme="minorHAnsi"/>
        </w:rPr>
        <w:t xml:space="preserve">There is a potential risk of arterial thromboembolic events following intravitreal use of VEGF inhibitors. </w:t>
      </w:r>
    </w:p>
    <w:p w14:paraId="6EC7712C" w14:textId="77777777" w:rsidR="00244481" w:rsidRPr="008A18AA" w:rsidRDefault="00244481" w:rsidP="00244481">
      <w:pPr>
        <w:pStyle w:val="NormalWeb"/>
        <w:spacing w:before="0" w:beforeAutospacing="0" w:after="0" w:afterAutospacing="0"/>
        <w:rPr>
          <w:rFonts w:asciiTheme="minorHAnsi" w:hAnsiTheme="minorHAnsi" w:cstheme="minorHAnsi"/>
        </w:rPr>
      </w:pPr>
    </w:p>
    <w:p w14:paraId="744D85A4" w14:textId="77777777" w:rsidR="00244481" w:rsidRPr="008A18AA" w:rsidRDefault="00244481" w:rsidP="00244481">
      <w:pPr>
        <w:pStyle w:val="NormalWeb"/>
        <w:spacing w:before="0" w:beforeAutospacing="0" w:after="0" w:afterAutospacing="0"/>
        <w:rPr>
          <w:rFonts w:asciiTheme="minorHAnsi" w:hAnsiTheme="minorHAnsi" w:cstheme="minorHAnsi"/>
        </w:rPr>
      </w:pPr>
      <w:r w:rsidRPr="008A18AA">
        <w:rPr>
          <w:rFonts w:asciiTheme="minorHAnsi" w:hAnsiTheme="minorHAnsi" w:cstheme="minorHAnsi"/>
        </w:rPr>
        <w:t xml:space="preserve">Please refer to full Prescribing Information for YESAFILI for more information. To report SUSPECTED ADVERSE REACTIONS, contact Biocon Biologics at 1-833-986-1468 or FDA at 1-800-FDA-1088 or </w:t>
      </w:r>
      <w:hyperlink r:id="rId9" w:history="1">
        <w:r w:rsidRPr="008A18AA">
          <w:rPr>
            <w:rStyle w:val="Hyperlink"/>
            <w:rFonts w:asciiTheme="minorHAnsi" w:hAnsiTheme="minorHAnsi" w:cstheme="minorHAnsi"/>
          </w:rPr>
          <w:t>www.fda.gov/medwatch</w:t>
        </w:r>
      </w:hyperlink>
      <w:r w:rsidRPr="008A18AA">
        <w:rPr>
          <w:rFonts w:asciiTheme="minorHAnsi" w:hAnsiTheme="minorHAnsi" w:cstheme="minorHAnsi"/>
        </w:rPr>
        <w:t xml:space="preserve">. </w:t>
      </w:r>
    </w:p>
    <w:p w14:paraId="12C8BEC6" w14:textId="77777777" w:rsidR="001C127C" w:rsidRDefault="001C127C" w:rsidP="00244481">
      <w:pPr>
        <w:widowControl w:val="0"/>
        <w:autoSpaceDE w:val="0"/>
        <w:autoSpaceDN w:val="0"/>
        <w:adjustRightInd w:val="0"/>
        <w:spacing w:after="0" w:line="240" w:lineRule="auto"/>
        <w:jc w:val="both"/>
        <w:rPr>
          <w:rFonts w:cstheme="minorHAnsi"/>
        </w:rPr>
      </w:pPr>
    </w:p>
    <w:p w14:paraId="36B3F3D2" w14:textId="5C3BA760" w:rsidR="00244481" w:rsidRPr="0030474D" w:rsidRDefault="00244481" w:rsidP="00244481">
      <w:pPr>
        <w:spacing w:after="0" w:line="240" w:lineRule="auto"/>
        <w:rPr>
          <w:rFonts w:cstheme="minorHAnsi"/>
          <w:sz w:val="20"/>
          <w:szCs w:val="20"/>
        </w:rPr>
      </w:pPr>
      <w:r>
        <w:rPr>
          <w:rFonts w:cstheme="minorHAnsi"/>
          <w:sz w:val="20"/>
          <w:szCs w:val="20"/>
        </w:rPr>
        <w:t>YESAFILI</w:t>
      </w:r>
      <w:r w:rsidR="009656B3">
        <w:rPr>
          <w:rFonts w:cstheme="minorHAnsi"/>
          <w:sz w:val="20"/>
          <w:szCs w:val="20"/>
        </w:rPr>
        <w:t>™</w:t>
      </w:r>
      <w:r>
        <w:rPr>
          <w:rFonts w:cstheme="minorHAnsi"/>
          <w:sz w:val="20"/>
          <w:szCs w:val="20"/>
        </w:rPr>
        <w:t xml:space="preserve"> </w:t>
      </w:r>
      <w:r w:rsidRPr="0030474D">
        <w:rPr>
          <w:rFonts w:cstheme="minorHAnsi"/>
          <w:sz w:val="20"/>
          <w:szCs w:val="20"/>
        </w:rPr>
        <w:t>is a trademark of Biosimilars Newco Limited, a Biocon Biologics Company.</w:t>
      </w:r>
    </w:p>
    <w:p w14:paraId="26595792" w14:textId="77777777" w:rsidR="00244481" w:rsidRDefault="00244481" w:rsidP="00244481">
      <w:pPr>
        <w:spacing w:after="0" w:line="240" w:lineRule="auto"/>
        <w:rPr>
          <w:rFonts w:cstheme="minorHAnsi"/>
          <w:sz w:val="20"/>
          <w:szCs w:val="20"/>
        </w:rPr>
      </w:pPr>
      <w:r w:rsidRPr="00DA1658">
        <w:rPr>
          <w:rFonts w:cstheme="minorHAnsi"/>
          <w:sz w:val="20"/>
          <w:szCs w:val="20"/>
        </w:rPr>
        <w:t xml:space="preserve">BIOCON BIOLOGICS and the Biocon Biologics Logo are registered trademarks of Biocon Biologics Limited. </w:t>
      </w:r>
    </w:p>
    <w:p w14:paraId="4C8148EA" w14:textId="77777777" w:rsidR="00244481" w:rsidRPr="00D0685F" w:rsidRDefault="00244481" w:rsidP="00244481">
      <w:pPr>
        <w:spacing w:after="0" w:line="240" w:lineRule="auto"/>
        <w:rPr>
          <w:rFonts w:cstheme="minorHAnsi"/>
          <w:sz w:val="20"/>
          <w:szCs w:val="20"/>
        </w:rPr>
      </w:pPr>
      <w:r w:rsidRPr="00DA1658">
        <w:rPr>
          <w:rFonts w:cstheme="minorHAnsi"/>
          <w:sz w:val="20"/>
          <w:szCs w:val="20"/>
        </w:rPr>
        <w:t>All other trademarks are the property of their respective owners.</w:t>
      </w:r>
    </w:p>
    <w:p w14:paraId="56118873" w14:textId="77777777" w:rsidR="00244481" w:rsidRPr="0030474D" w:rsidRDefault="00244481" w:rsidP="00244481">
      <w:pPr>
        <w:spacing w:after="0" w:line="240" w:lineRule="auto"/>
        <w:rPr>
          <w:rFonts w:cstheme="minorHAnsi"/>
          <w:sz w:val="20"/>
          <w:szCs w:val="20"/>
        </w:rPr>
      </w:pPr>
    </w:p>
    <w:p w14:paraId="298050A4" w14:textId="77777777" w:rsidR="00811A4D" w:rsidRDefault="00811A4D" w:rsidP="00244481">
      <w:pPr>
        <w:shd w:val="clear" w:color="auto" w:fill="FFFFFF" w:themeFill="background1"/>
        <w:jc w:val="both"/>
        <w:rPr>
          <w:rFonts w:cs="Calibri"/>
          <w:b/>
          <w:bCs/>
          <w:color w:val="000000" w:themeColor="text1"/>
          <w:sz w:val="24"/>
          <w:szCs w:val="24"/>
        </w:rPr>
      </w:pPr>
    </w:p>
    <w:p w14:paraId="04AFBAB2" w14:textId="77777777" w:rsidR="00811A4D" w:rsidRDefault="00811A4D" w:rsidP="00244481">
      <w:pPr>
        <w:shd w:val="clear" w:color="auto" w:fill="FFFFFF" w:themeFill="background1"/>
        <w:jc w:val="both"/>
        <w:rPr>
          <w:rFonts w:cs="Calibri"/>
          <w:b/>
          <w:bCs/>
          <w:color w:val="000000" w:themeColor="text1"/>
          <w:sz w:val="24"/>
          <w:szCs w:val="24"/>
        </w:rPr>
      </w:pPr>
    </w:p>
    <w:p w14:paraId="79AC7DEA" w14:textId="3AA27001" w:rsidR="00244481" w:rsidRPr="000952F1" w:rsidRDefault="00244481" w:rsidP="00244481">
      <w:pPr>
        <w:shd w:val="clear" w:color="auto" w:fill="FFFFFF" w:themeFill="background1"/>
        <w:jc w:val="both"/>
        <w:rPr>
          <w:rFonts w:cs="Calibri"/>
          <w:b/>
          <w:bCs/>
          <w:color w:val="000000" w:themeColor="text1"/>
          <w:sz w:val="24"/>
          <w:szCs w:val="24"/>
        </w:rPr>
      </w:pPr>
      <w:r w:rsidRPr="000952F1">
        <w:rPr>
          <w:rFonts w:cs="Calibri"/>
          <w:b/>
          <w:bCs/>
          <w:color w:val="000000" w:themeColor="text1"/>
          <w:sz w:val="24"/>
          <w:szCs w:val="24"/>
        </w:rPr>
        <w:lastRenderedPageBreak/>
        <w:t>About Biocon Biologics Limited: </w:t>
      </w:r>
    </w:p>
    <w:p w14:paraId="3EFC7BA4" w14:textId="65754AAF" w:rsidR="00244481" w:rsidRPr="000952F1" w:rsidRDefault="00244481" w:rsidP="000952F1">
      <w:pPr>
        <w:pStyle w:val="NoSpacing"/>
        <w:jc w:val="both"/>
        <w:rPr>
          <w:rStyle w:val="cf01"/>
          <w:rFonts w:asciiTheme="minorHAnsi" w:hAnsiTheme="minorHAnsi" w:cstheme="minorHAnsi"/>
          <w:sz w:val="20"/>
          <w:szCs w:val="20"/>
          <w:lang w:val="en-US"/>
        </w:rPr>
      </w:pPr>
      <w:r w:rsidRPr="000952F1">
        <w:rPr>
          <w:rFonts w:cstheme="minorHAnsi"/>
          <w:b/>
          <w:bCs/>
          <w:color w:val="000000" w:themeColor="text1"/>
          <w:sz w:val="20"/>
          <w:szCs w:val="20"/>
          <w:lang w:val="en-US"/>
        </w:rPr>
        <w:t>Biocon Biologics Ltd. (BBL)</w:t>
      </w:r>
      <w:r w:rsidRPr="000952F1">
        <w:rPr>
          <w:rFonts w:cstheme="minorHAnsi"/>
          <w:color w:val="000000" w:themeColor="text1"/>
          <w:sz w:val="20"/>
          <w:szCs w:val="20"/>
          <w:lang w:val="en-US"/>
        </w:rPr>
        <w:t xml:space="preserve">, </w:t>
      </w:r>
      <w:r w:rsidRPr="000952F1">
        <w:rPr>
          <w:rStyle w:val="cf01"/>
          <w:rFonts w:asciiTheme="minorHAnsi" w:hAnsiTheme="minorHAnsi" w:cstheme="minorHAnsi"/>
          <w:sz w:val="20"/>
          <w:szCs w:val="20"/>
          <w:lang w:val="en-US"/>
        </w:rPr>
        <w:t>a subsidiary of Biocon Limited, is a unique, fully integrated, global biosimilars company committed to transforming healthcare and transforming lives. It is capitalizing on its ‘lab to market’ capabilities to serve millions of patients across 120+ countries by enabling affordable access to high quality biosimilars. The Company is leveraging cutting-edge science, innovative tech platforms, global scale manufacturing capabilities and world-class quality systems to lower costs of biological therapeutics while improving healthcare outcomes.</w:t>
      </w:r>
    </w:p>
    <w:p w14:paraId="7720203C" w14:textId="77777777" w:rsidR="00244481" w:rsidRPr="000952F1" w:rsidRDefault="00244481" w:rsidP="000952F1">
      <w:pPr>
        <w:pStyle w:val="NoSpacing"/>
        <w:jc w:val="both"/>
        <w:rPr>
          <w:rFonts w:cstheme="minorHAnsi"/>
          <w:sz w:val="20"/>
          <w:szCs w:val="20"/>
        </w:rPr>
      </w:pPr>
    </w:p>
    <w:p w14:paraId="26819FF3" w14:textId="5A7F1230" w:rsidR="00244481" w:rsidRPr="000952F1" w:rsidRDefault="00244481" w:rsidP="000952F1">
      <w:pPr>
        <w:pStyle w:val="NoSpacing"/>
        <w:jc w:val="both"/>
        <w:rPr>
          <w:rStyle w:val="cf01"/>
          <w:rFonts w:asciiTheme="minorHAnsi" w:hAnsiTheme="minorHAnsi" w:cstheme="minorHAnsi"/>
          <w:sz w:val="20"/>
          <w:szCs w:val="20"/>
          <w:lang w:val="en-US"/>
        </w:rPr>
      </w:pPr>
      <w:bookmarkStart w:id="0" w:name="_Hlk192142497"/>
      <w:r w:rsidRPr="000952F1">
        <w:rPr>
          <w:rStyle w:val="cf01"/>
          <w:rFonts w:asciiTheme="minorHAnsi" w:hAnsiTheme="minorHAnsi" w:cstheme="minorHAnsi"/>
          <w:sz w:val="20"/>
          <w:szCs w:val="20"/>
          <w:lang w:val="en-US"/>
        </w:rPr>
        <w:t xml:space="preserve">Biocon Biologics has commercialized nine biosimilars from its pipeline of 20 products in key emerging markets and advanced markets like U.S., Europe, Australia, Canada, and Japan. Its pipeline has several biosimilar assets under development across diabetology, oncology, immunology, ophthalmology, and other non-communicable diseases. The Company has many ‘firsts’ to its credit in the biosimilars industry. As part of its environmental, social and governance (ESG) commitment, it is advancing the health of patients, people, and the planet to achieve key UN Sustainable Development Goals (SDGs). </w:t>
      </w:r>
    </w:p>
    <w:p w14:paraId="55E1F462" w14:textId="77777777" w:rsidR="00244481" w:rsidRPr="000952F1" w:rsidRDefault="00244481" w:rsidP="000952F1">
      <w:pPr>
        <w:pStyle w:val="NoSpacing"/>
        <w:rPr>
          <w:rFonts w:cstheme="minorHAnsi"/>
          <w:sz w:val="20"/>
          <w:szCs w:val="20"/>
        </w:rPr>
      </w:pPr>
      <w:r w:rsidRPr="000952F1">
        <w:rPr>
          <w:rStyle w:val="cf01"/>
          <w:rFonts w:asciiTheme="minorHAnsi" w:hAnsiTheme="minorHAnsi" w:cstheme="minorHAnsi"/>
          <w:b/>
          <w:bCs/>
          <w:sz w:val="20"/>
          <w:szCs w:val="20"/>
        </w:rPr>
        <w:t>Website</w:t>
      </w:r>
      <w:r w:rsidRPr="000952F1">
        <w:rPr>
          <w:rFonts w:cstheme="minorHAnsi"/>
          <w:sz w:val="20"/>
          <w:szCs w:val="20"/>
        </w:rPr>
        <w:t> </w:t>
      </w:r>
      <w:hyperlink r:id="rId10" w:history="1">
        <w:r w:rsidRPr="000952F1">
          <w:rPr>
            <w:rStyle w:val="Hyperlink"/>
            <w:rFonts w:cstheme="minorHAnsi"/>
            <w:sz w:val="20"/>
            <w:szCs w:val="20"/>
          </w:rPr>
          <w:t>www.bioconbiologics.com</w:t>
        </w:r>
      </w:hyperlink>
      <w:r w:rsidRPr="000952F1">
        <w:rPr>
          <w:rStyle w:val="cf01"/>
          <w:rFonts w:asciiTheme="minorHAnsi" w:hAnsiTheme="minorHAnsi" w:cstheme="minorHAnsi"/>
          <w:sz w:val="20"/>
          <w:szCs w:val="20"/>
        </w:rPr>
        <w:t xml:space="preserve">; Follow us on </w:t>
      </w:r>
      <w:r w:rsidRPr="000952F1">
        <w:rPr>
          <w:rStyle w:val="cf01"/>
          <w:rFonts w:asciiTheme="minorHAnsi" w:hAnsiTheme="minorHAnsi" w:cstheme="minorHAnsi"/>
          <w:b/>
          <w:bCs/>
          <w:sz w:val="20"/>
          <w:szCs w:val="20"/>
        </w:rPr>
        <w:t>X</w:t>
      </w:r>
      <w:r w:rsidRPr="000952F1">
        <w:rPr>
          <w:rStyle w:val="cf01"/>
          <w:rFonts w:asciiTheme="minorHAnsi" w:hAnsiTheme="minorHAnsi" w:cstheme="minorHAnsi"/>
          <w:sz w:val="20"/>
          <w:szCs w:val="20"/>
        </w:rPr>
        <w:t xml:space="preserve"> </w:t>
      </w:r>
      <w:r w:rsidRPr="000952F1">
        <w:rPr>
          <w:rStyle w:val="cf01"/>
          <w:rFonts w:asciiTheme="minorHAnsi" w:hAnsiTheme="minorHAnsi" w:cstheme="minorHAnsi"/>
          <w:i/>
          <w:iCs/>
          <w:sz w:val="20"/>
          <w:szCs w:val="20"/>
        </w:rPr>
        <w:t>(formerly Twitter</w:t>
      </w:r>
      <w:r w:rsidRPr="000952F1">
        <w:rPr>
          <w:rStyle w:val="cf01"/>
          <w:rFonts w:asciiTheme="minorHAnsi" w:hAnsiTheme="minorHAnsi" w:cstheme="minorHAnsi"/>
          <w:sz w:val="20"/>
          <w:szCs w:val="20"/>
        </w:rPr>
        <w:t xml:space="preserve">): </w:t>
      </w:r>
      <w:hyperlink r:id="rId11" w:history="1">
        <w:r w:rsidRPr="000952F1">
          <w:rPr>
            <w:rStyle w:val="Hyperlink"/>
            <w:rFonts w:cstheme="minorHAnsi"/>
            <w:sz w:val="20"/>
            <w:szCs w:val="20"/>
          </w:rPr>
          <w:t>@BioconBiologics</w:t>
        </w:r>
      </w:hyperlink>
      <w:r w:rsidRPr="000952F1">
        <w:rPr>
          <w:rStyle w:val="cf01"/>
          <w:rFonts w:asciiTheme="minorHAnsi" w:hAnsiTheme="minorHAnsi" w:cstheme="minorHAnsi"/>
          <w:sz w:val="20"/>
          <w:szCs w:val="20"/>
        </w:rPr>
        <w:t xml:space="preserve"> and </w:t>
      </w:r>
      <w:r w:rsidRPr="000952F1">
        <w:rPr>
          <w:rStyle w:val="cf01"/>
          <w:rFonts w:asciiTheme="minorHAnsi" w:hAnsiTheme="minorHAnsi" w:cstheme="minorHAnsi"/>
          <w:b/>
          <w:bCs/>
          <w:sz w:val="20"/>
          <w:szCs w:val="20"/>
        </w:rPr>
        <w:t>LinkedIn</w:t>
      </w:r>
      <w:r w:rsidRPr="000952F1">
        <w:rPr>
          <w:rStyle w:val="cf01"/>
          <w:rFonts w:asciiTheme="minorHAnsi" w:hAnsiTheme="minorHAnsi" w:cstheme="minorHAnsi"/>
          <w:sz w:val="20"/>
          <w:szCs w:val="20"/>
        </w:rPr>
        <w:t>: </w:t>
      </w:r>
      <w:hyperlink r:id="rId12" w:history="1">
        <w:r w:rsidRPr="000952F1">
          <w:rPr>
            <w:rStyle w:val="Hyperlink"/>
            <w:rFonts w:cstheme="minorHAnsi"/>
            <w:sz w:val="20"/>
            <w:szCs w:val="20"/>
            <w:shd w:val="clear" w:color="auto" w:fill="FFFFFF"/>
          </w:rPr>
          <w:t>Biocon Biologics</w:t>
        </w:r>
        <w:r w:rsidRPr="000952F1">
          <w:rPr>
            <w:rStyle w:val="Hyperlink"/>
            <w:rFonts w:cstheme="minorHAnsi"/>
            <w:sz w:val="20"/>
            <w:szCs w:val="20"/>
          </w:rPr>
          <w:t> </w:t>
        </w:r>
      </w:hyperlink>
      <w:r w:rsidRPr="000952F1">
        <w:rPr>
          <w:rStyle w:val="cf01"/>
          <w:rFonts w:asciiTheme="minorHAnsi" w:hAnsiTheme="minorHAnsi" w:cstheme="minorHAnsi"/>
          <w:sz w:val="20"/>
          <w:szCs w:val="20"/>
        </w:rPr>
        <w:t>for company updates.</w:t>
      </w:r>
    </w:p>
    <w:bookmarkEnd w:id="0"/>
    <w:p w14:paraId="58693BE7" w14:textId="77777777" w:rsidR="00244481" w:rsidRPr="000952F1" w:rsidRDefault="00244481" w:rsidP="000952F1">
      <w:pPr>
        <w:shd w:val="clear" w:color="auto" w:fill="FFFFFF"/>
        <w:spacing w:after="0" w:line="240" w:lineRule="auto"/>
        <w:jc w:val="both"/>
        <w:rPr>
          <w:rFonts w:cstheme="minorHAnsi"/>
          <w:color w:val="000000" w:themeColor="text1"/>
          <w:sz w:val="20"/>
          <w:szCs w:val="20"/>
        </w:rPr>
      </w:pPr>
    </w:p>
    <w:p w14:paraId="582BE0C3" w14:textId="77777777" w:rsidR="00244481" w:rsidRPr="000952F1" w:rsidRDefault="00244481" w:rsidP="000952F1">
      <w:pPr>
        <w:shd w:val="clear" w:color="auto" w:fill="FFFFFF" w:themeFill="background1"/>
        <w:spacing w:after="0" w:line="240" w:lineRule="auto"/>
        <w:jc w:val="both"/>
        <w:rPr>
          <w:rFonts w:cstheme="minorHAnsi"/>
          <w:color w:val="000000" w:themeColor="text1"/>
          <w:sz w:val="20"/>
          <w:szCs w:val="20"/>
        </w:rPr>
      </w:pPr>
      <w:r w:rsidRPr="000952F1">
        <w:rPr>
          <w:rFonts w:cstheme="minorHAnsi"/>
          <w:b/>
          <w:bCs/>
          <w:color w:val="000000" w:themeColor="text1"/>
          <w:sz w:val="20"/>
          <w:szCs w:val="20"/>
        </w:rPr>
        <w:t>Biocon Limited,</w:t>
      </w:r>
      <w:r w:rsidRPr="000952F1">
        <w:rPr>
          <w:rFonts w:cstheme="minorHAnsi"/>
          <w:color w:val="000000" w:themeColor="text1"/>
          <w:sz w:val="20"/>
          <w:szCs w:val="20"/>
        </w:rPr>
        <w:t xml:space="preserve"> publicly listed in 2004, (BSE code: 532523, NSE Id: BIOCON, ISIN Id: INE376G01013) is an innovation-led global biopharmaceuticals company committed to enhance affordable access to complex therapies for chronic conditions like diabetes, cancer and autoimmune. It has developed and commercialized novel biologics, biosimilars, and complex small molecule APIs in India and several key global markets as well as Generic Formulations in the US, Europe &amp; key emerging markets. It also has a pipeline of promising novel assets in immunotherapy under development.  </w:t>
      </w:r>
    </w:p>
    <w:p w14:paraId="265A7C7F" w14:textId="77777777" w:rsidR="00244481" w:rsidRDefault="00244481" w:rsidP="000952F1">
      <w:pPr>
        <w:shd w:val="clear" w:color="auto" w:fill="FFFFFF" w:themeFill="background1"/>
        <w:spacing w:after="0" w:line="240" w:lineRule="auto"/>
        <w:rPr>
          <w:rFonts w:cstheme="minorHAnsi"/>
          <w:color w:val="000000" w:themeColor="text1"/>
          <w:sz w:val="20"/>
          <w:szCs w:val="20"/>
        </w:rPr>
      </w:pPr>
      <w:r w:rsidRPr="000952F1">
        <w:rPr>
          <w:rFonts w:cstheme="minorHAnsi"/>
          <w:b/>
          <w:bCs/>
          <w:color w:val="000000" w:themeColor="text1"/>
          <w:sz w:val="20"/>
          <w:szCs w:val="20"/>
        </w:rPr>
        <w:t>Website:</w:t>
      </w:r>
      <w:r w:rsidRPr="000952F1">
        <w:rPr>
          <w:rFonts w:cstheme="minorHAnsi"/>
          <w:color w:val="000000" w:themeColor="text1"/>
          <w:sz w:val="20"/>
          <w:szCs w:val="20"/>
        </w:rPr>
        <w:t xml:space="preserve"> </w:t>
      </w:r>
      <w:hyperlink r:id="rId13" w:history="1">
        <w:r w:rsidRPr="000952F1">
          <w:rPr>
            <w:rStyle w:val="Hyperlink"/>
            <w:rFonts w:cstheme="minorHAnsi"/>
            <w:sz w:val="20"/>
            <w:szCs w:val="20"/>
          </w:rPr>
          <w:t>www.biocon.com</w:t>
        </w:r>
      </w:hyperlink>
      <w:r w:rsidRPr="000952F1">
        <w:rPr>
          <w:rFonts w:cstheme="minorHAnsi"/>
          <w:color w:val="000000" w:themeColor="text1"/>
          <w:sz w:val="20"/>
          <w:szCs w:val="20"/>
        </w:rPr>
        <w:t xml:space="preserve">; Follow-us on </w:t>
      </w:r>
      <w:r w:rsidRPr="000952F1">
        <w:rPr>
          <w:rStyle w:val="cf01"/>
          <w:rFonts w:asciiTheme="minorHAnsi" w:hAnsiTheme="minorHAnsi" w:cstheme="minorHAnsi"/>
          <w:b/>
          <w:bCs/>
          <w:sz w:val="20"/>
          <w:szCs w:val="20"/>
        </w:rPr>
        <w:t>X</w:t>
      </w:r>
      <w:r w:rsidRPr="000952F1">
        <w:rPr>
          <w:rStyle w:val="cf01"/>
          <w:rFonts w:asciiTheme="minorHAnsi" w:hAnsiTheme="minorHAnsi" w:cstheme="minorHAnsi"/>
          <w:sz w:val="20"/>
          <w:szCs w:val="20"/>
        </w:rPr>
        <w:t xml:space="preserve"> </w:t>
      </w:r>
      <w:r w:rsidRPr="000952F1">
        <w:rPr>
          <w:rStyle w:val="cf01"/>
          <w:rFonts w:asciiTheme="minorHAnsi" w:hAnsiTheme="minorHAnsi" w:cstheme="minorHAnsi"/>
          <w:i/>
          <w:iCs/>
          <w:sz w:val="20"/>
          <w:szCs w:val="20"/>
        </w:rPr>
        <w:t>(formerly Twitter</w:t>
      </w:r>
      <w:r w:rsidRPr="000952F1">
        <w:rPr>
          <w:rStyle w:val="cf01"/>
          <w:rFonts w:asciiTheme="minorHAnsi" w:hAnsiTheme="minorHAnsi" w:cstheme="minorHAnsi"/>
          <w:sz w:val="20"/>
          <w:szCs w:val="20"/>
        </w:rPr>
        <w:t>)</w:t>
      </w:r>
      <w:r w:rsidRPr="000952F1">
        <w:rPr>
          <w:rFonts w:cstheme="minorHAnsi"/>
          <w:color w:val="000000" w:themeColor="text1"/>
          <w:sz w:val="20"/>
          <w:szCs w:val="20"/>
        </w:rPr>
        <w:t xml:space="preserve"> </w:t>
      </w:r>
      <w:hyperlink r:id="rId14" w:history="1">
        <w:r w:rsidRPr="000952F1">
          <w:rPr>
            <w:rStyle w:val="Hyperlink"/>
            <w:rFonts w:cstheme="minorHAnsi"/>
            <w:sz w:val="20"/>
            <w:szCs w:val="20"/>
          </w:rPr>
          <w:t>@bioconlimited</w:t>
        </w:r>
      </w:hyperlink>
      <w:r w:rsidRPr="000952F1">
        <w:rPr>
          <w:rFonts w:cstheme="minorHAnsi"/>
          <w:color w:val="000000" w:themeColor="text1"/>
          <w:sz w:val="20"/>
          <w:szCs w:val="20"/>
        </w:rPr>
        <w:t xml:space="preserve"> and </w:t>
      </w:r>
      <w:r w:rsidRPr="000952F1">
        <w:rPr>
          <w:rFonts w:cstheme="minorHAnsi"/>
          <w:b/>
          <w:bCs/>
          <w:color w:val="000000" w:themeColor="text1"/>
          <w:sz w:val="20"/>
          <w:szCs w:val="20"/>
        </w:rPr>
        <w:t>LinkedIn</w:t>
      </w:r>
      <w:r w:rsidRPr="000952F1">
        <w:rPr>
          <w:rFonts w:cstheme="minorHAnsi"/>
          <w:color w:val="000000" w:themeColor="text1"/>
          <w:sz w:val="20"/>
          <w:szCs w:val="20"/>
        </w:rPr>
        <w:t xml:space="preserve">: </w:t>
      </w:r>
      <w:hyperlink r:id="rId15" w:history="1">
        <w:r w:rsidRPr="000952F1">
          <w:rPr>
            <w:rStyle w:val="Hyperlink"/>
            <w:rFonts w:cstheme="minorHAnsi"/>
            <w:sz w:val="20"/>
            <w:szCs w:val="20"/>
          </w:rPr>
          <w:t>Biocon</w:t>
        </w:r>
      </w:hyperlink>
      <w:r w:rsidRPr="000952F1">
        <w:rPr>
          <w:rFonts w:cstheme="minorHAnsi"/>
          <w:color w:val="000000" w:themeColor="text1"/>
          <w:sz w:val="20"/>
          <w:szCs w:val="20"/>
        </w:rPr>
        <w:t xml:space="preserve"> for company updates.</w:t>
      </w:r>
    </w:p>
    <w:p w14:paraId="4CE98EA2" w14:textId="77777777" w:rsidR="000952F1" w:rsidRPr="000952F1" w:rsidRDefault="000952F1" w:rsidP="000952F1">
      <w:pPr>
        <w:shd w:val="clear" w:color="auto" w:fill="FFFFFF" w:themeFill="background1"/>
        <w:spacing w:after="0" w:line="240" w:lineRule="auto"/>
        <w:rPr>
          <w:rFonts w:cstheme="minorHAnsi"/>
          <w:color w:val="000000" w:themeColor="text1"/>
          <w:sz w:val="20"/>
          <w:szCs w:val="20"/>
        </w:rPr>
      </w:pPr>
    </w:p>
    <w:p w14:paraId="1D007390" w14:textId="77777777" w:rsidR="00244481" w:rsidRPr="000952F1" w:rsidRDefault="00244481" w:rsidP="000952F1">
      <w:pPr>
        <w:spacing w:after="0" w:line="240" w:lineRule="auto"/>
        <w:jc w:val="both"/>
        <w:rPr>
          <w:rFonts w:cs="Calibri"/>
          <w:b/>
          <w:bCs/>
          <w:color w:val="333333"/>
          <w:sz w:val="24"/>
          <w:szCs w:val="24"/>
        </w:rPr>
      </w:pPr>
      <w:r w:rsidRPr="000952F1">
        <w:rPr>
          <w:rFonts w:cs="Calibri"/>
          <w:b/>
          <w:bCs/>
          <w:color w:val="333333"/>
          <w:sz w:val="24"/>
          <w:szCs w:val="24"/>
        </w:rPr>
        <w:t>Forward-Looking Statements: Biocon</w:t>
      </w:r>
    </w:p>
    <w:p w14:paraId="3C138790" w14:textId="77777777" w:rsidR="000952F1" w:rsidRDefault="000952F1" w:rsidP="000952F1">
      <w:pPr>
        <w:spacing w:after="0" w:line="240" w:lineRule="auto"/>
        <w:jc w:val="both"/>
        <w:rPr>
          <w:rFonts w:cs="Calibri"/>
          <w:i/>
          <w:iCs/>
          <w:color w:val="333333"/>
          <w:sz w:val="19"/>
          <w:szCs w:val="19"/>
        </w:rPr>
      </w:pPr>
    </w:p>
    <w:p w14:paraId="1FD9EF79" w14:textId="6499FA74" w:rsidR="00244481" w:rsidRPr="003F44CD" w:rsidRDefault="00244481" w:rsidP="000952F1">
      <w:pPr>
        <w:spacing w:after="0" w:line="240" w:lineRule="auto"/>
        <w:jc w:val="both"/>
        <w:rPr>
          <w:rFonts w:cs="Calibri"/>
        </w:rPr>
      </w:pPr>
      <w:r w:rsidRPr="003F44CD">
        <w:rPr>
          <w:rFonts w:cs="Calibri"/>
          <w:i/>
          <w:iCs/>
          <w:color w:val="333333"/>
          <w:sz w:val="19"/>
          <w:szCs w:val="19"/>
        </w:rPr>
        <w:t xml:space="preserve">This press release may include statements of future expectations and other forward-looking statements based on management’s current expectations and beliefs concerning future developments and their potential effects upon Biocon and its subsidiaries/ associates. These forward-looking statements involve known or unknown risks and uncertainties that could cause actual results, performance or events to differ materially from those expressed or implied in such statements. Important factors that could cause actual results to differ materially from our expectations include, amongst other: general economic and business conditions in India and overseas, our ability to successfully implement our strategy, our research and development efforts, our growth and expansion plans and technological changes, changes in the value of the Rupee and other currency changes, changes in the Indian and international interest rates, change in laws and regulations that apply to the Indian and global biotechnology and pharmaceuticals industries, increasing competition in and the conditions of the Indian and global biotechnology and pharmaceuticals industries, changes in political conditions in India and changes in the foreign exchange control regulations in India. Neither Biocon, nor our </w:t>
      </w:r>
      <w:proofErr w:type="gramStart"/>
      <w:r w:rsidRPr="003F44CD">
        <w:rPr>
          <w:rFonts w:cs="Calibri"/>
          <w:i/>
          <w:iCs/>
          <w:color w:val="333333"/>
          <w:sz w:val="19"/>
          <w:szCs w:val="19"/>
        </w:rPr>
        <w:t>Directors</w:t>
      </w:r>
      <w:proofErr w:type="gramEnd"/>
      <w:r w:rsidRPr="003F44CD">
        <w:rPr>
          <w:rFonts w:cs="Calibri"/>
          <w:i/>
          <w:iCs/>
          <w:color w:val="333333"/>
          <w:sz w:val="19"/>
          <w:szCs w:val="19"/>
        </w:rPr>
        <w:t xml:space="preserve">, or any of our subsidiaries/associates assume any obligation to update any </w:t>
      </w:r>
      <w:proofErr w:type="gramStart"/>
      <w:r w:rsidRPr="003F44CD">
        <w:rPr>
          <w:rFonts w:cs="Calibri"/>
          <w:i/>
          <w:iCs/>
          <w:color w:val="333333"/>
          <w:sz w:val="19"/>
          <w:szCs w:val="19"/>
        </w:rPr>
        <w:t>particular forward-looking</w:t>
      </w:r>
      <w:proofErr w:type="gramEnd"/>
      <w:r w:rsidRPr="003F44CD">
        <w:rPr>
          <w:rFonts w:cs="Calibri"/>
          <w:i/>
          <w:iCs/>
          <w:color w:val="333333"/>
          <w:sz w:val="19"/>
          <w:szCs w:val="19"/>
        </w:rPr>
        <w:t xml:space="preserve"> statement contained in this release.</w:t>
      </w:r>
    </w:p>
    <w:tbl>
      <w:tblPr>
        <w:tblW w:w="0" w:type="auto"/>
        <w:tblCellMar>
          <w:left w:w="0" w:type="dxa"/>
          <w:right w:w="0" w:type="dxa"/>
        </w:tblCellMar>
        <w:tblLook w:val="04A0" w:firstRow="1" w:lastRow="0" w:firstColumn="1" w:lastColumn="0" w:noHBand="0" w:noVBand="1"/>
      </w:tblPr>
      <w:tblGrid>
        <w:gridCol w:w="4498"/>
        <w:gridCol w:w="4508"/>
      </w:tblGrid>
      <w:tr w:rsidR="00244481" w:rsidRPr="003F44CD" w14:paraId="45B74B5F" w14:textId="77777777" w:rsidTr="00A2412D">
        <w:trPr>
          <w:trHeight w:val="280"/>
        </w:trPr>
        <w:tc>
          <w:tcPr>
            <w:tcW w:w="93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C4C49C" w14:textId="77777777" w:rsidR="00244481" w:rsidRPr="00016279" w:rsidRDefault="00244481" w:rsidP="00A2412D">
            <w:pPr>
              <w:jc w:val="both"/>
              <w:rPr>
                <w:rFonts w:cs="Calibri"/>
                <w:i/>
                <w:iCs/>
                <w:sz w:val="20"/>
                <w:szCs w:val="20"/>
              </w:rPr>
            </w:pPr>
            <w:r w:rsidRPr="00016279">
              <w:rPr>
                <w:rFonts w:cs="Calibri"/>
                <w:b/>
                <w:bCs/>
                <w:sz w:val="20"/>
                <w:szCs w:val="20"/>
              </w:rPr>
              <w:t>For More Information: Biocon Biologics</w:t>
            </w:r>
          </w:p>
        </w:tc>
      </w:tr>
      <w:tr w:rsidR="00244481" w:rsidRPr="003F44CD" w14:paraId="3042CD10" w14:textId="77777777" w:rsidTr="00A2412D">
        <w:trPr>
          <w:trHeight w:val="239"/>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345EB" w14:textId="77777777" w:rsidR="00244481" w:rsidRPr="00016279" w:rsidRDefault="00244481" w:rsidP="00A2412D">
            <w:pPr>
              <w:jc w:val="both"/>
              <w:rPr>
                <w:rFonts w:cs="Calibri"/>
                <w:b/>
                <w:bCs/>
                <w:sz w:val="20"/>
                <w:szCs w:val="20"/>
              </w:rPr>
            </w:pPr>
            <w:r w:rsidRPr="00016279">
              <w:rPr>
                <w:rFonts w:cs="Calibri"/>
                <w:b/>
                <w:bCs/>
                <w:sz w:val="20"/>
                <w:szCs w:val="20"/>
                <w:lang w:val="fi-FI"/>
              </w:rPr>
              <w:t xml:space="preserve">MEDIA </w:t>
            </w:r>
          </w:p>
        </w:tc>
        <w:tc>
          <w:tcPr>
            <w:tcW w:w="4693" w:type="dxa"/>
            <w:tcBorders>
              <w:top w:val="nil"/>
              <w:left w:val="nil"/>
              <w:bottom w:val="single" w:sz="8" w:space="0" w:color="auto"/>
              <w:right w:val="single" w:sz="8" w:space="0" w:color="auto"/>
            </w:tcBorders>
            <w:tcMar>
              <w:top w:w="0" w:type="dxa"/>
              <w:left w:w="108" w:type="dxa"/>
              <w:bottom w:w="0" w:type="dxa"/>
              <w:right w:w="108" w:type="dxa"/>
            </w:tcMar>
            <w:hideMark/>
          </w:tcPr>
          <w:p w14:paraId="7B2E0A01" w14:textId="77777777" w:rsidR="00244481" w:rsidRPr="00016279" w:rsidRDefault="00244481" w:rsidP="00A2412D">
            <w:pPr>
              <w:jc w:val="both"/>
              <w:rPr>
                <w:rFonts w:cs="Calibri"/>
                <w:i/>
                <w:iCs/>
                <w:sz w:val="20"/>
                <w:szCs w:val="20"/>
              </w:rPr>
            </w:pPr>
            <w:r w:rsidRPr="00016279">
              <w:rPr>
                <w:rFonts w:cs="Calibri"/>
                <w:b/>
                <w:bCs/>
                <w:sz w:val="20"/>
                <w:szCs w:val="20"/>
              </w:rPr>
              <w:t xml:space="preserve">INVESTORS </w:t>
            </w:r>
          </w:p>
        </w:tc>
      </w:tr>
      <w:tr w:rsidR="00244481" w:rsidRPr="003F44CD" w14:paraId="54F42880" w14:textId="77777777" w:rsidTr="00A2412D">
        <w:trPr>
          <w:trHeight w:val="1216"/>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C1ACAB" w14:textId="77777777" w:rsidR="00244481" w:rsidRPr="003F44CD" w:rsidRDefault="00244481" w:rsidP="00A2412D">
            <w:pPr>
              <w:pStyle w:val="NoSpacing"/>
              <w:rPr>
                <w:rFonts w:cs="Calibri"/>
                <w:b/>
                <w:bCs/>
                <w:sz w:val="20"/>
                <w:szCs w:val="20"/>
              </w:rPr>
            </w:pPr>
            <w:r w:rsidRPr="003F44CD">
              <w:rPr>
                <w:rFonts w:cs="Calibri"/>
                <w:b/>
                <w:bCs/>
                <w:sz w:val="20"/>
                <w:szCs w:val="20"/>
              </w:rPr>
              <w:t>Seema Ahuja</w:t>
            </w:r>
          </w:p>
          <w:p w14:paraId="5A09C508" w14:textId="77777777" w:rsidR="00244481" w:rsidRPr="003F44CD" w:rsidRDefault="00244481" w:rsidP="00A2412D">
            <w:pPr>
              <w:pStyle w:val="NoSpacing"/>
              <w:rPr>
                <w:rFonts w:cs="Calibri"/>
                <w:sz w:val="20"/>
                <w:szCs w:val="20"/>
              </w:rPr>
            </w:pPr>
            <w:r w:rsidRPr="003F44CD">
              <w:rPr>
                <w:rFonts w:cs="Calibri"/>
                <w:sz w:val="20"/>
                <w:szCs w:val="20"/>
              </w:rPr>
              <w:t xml:space="preserve">Global Head of Corporate Brand &amp; </w:t>
            </w:r>
          </w:p>
          <w:p w14:paraId="43D8A47D" w14:textId="77777777" w:rsidR="00244481" w:rsidRPr="003F44CD" w:rsidRDefault="00244481" w:rsidP="00A2412D">
            <w:pPr>
              <w:pStyle w:val="NoSpacing"/>
              <w:rPr>
                <w:rFonts w:cs="Calibri"/>
                <w:sz w:val="20"/>
                <w:szCs w:val="20"/>
              </w:rPr>
            </w:pPr>
            <w:r w:rsidRPr="003F44CD">
              <w:rPr>
                <w:rFonts w:cs="Calibri"/>
                <w:sz w:val="20"/>
                <w:szCs w:val="20"/>
              </w:rPr>
              <w:t xml:space="preserve">Head of Communications – Emerging Markets </w:t>
            </w:r>
          </w:p>
          <w:p w14:paraId="692B2E6B" w14:textId="77777777" w:rsidR="00244481" w:rsidRPr="003F44CD" w:rsidRDefault="00244481" w:rsidP="00A2412D">
            <w:pPr>
              <w:pStyle w:val="NoSpacing"/>
              <w:rPr>
                <w:rFonts w:cs="Calibri"/>
                <w:sz w:val="20"/>
                <w:szCs w:val="20"/>
              </w:rPr>
            </w:pPr>
            <w:r w:rsidRPr="003F44CD">
              <w:rPr>
                <w:rFonts w:cs="Calibri"/>
                <w:sz w:val="20"/>
                <w:szCs w:val="20"/>
              </w:rPr>
              <w:t>+91 99723 17792</w:t>
            </w:r>
          </w:p>
          <w:p w14:paraId="38A0A500" w14:textId="77777777" w:rsidR="00244481" w:rsidRPr="00016279" w:rsidRDefault="00244481" w:rsidP="00A2412D">
            <w:pPr>
              <w:pStyle w:val="NoSpacing"/>
              <w:rPr>
                <w:rStyle w:val="Hyperlink"/>
                <w:rFonts w:cs="Calibri"/>
                <w:sz w:val="20"/>
                <w:szCs w:val="20"/>
              </w:rPr>
            </w:pPr>
            <w:hyperlink r:id="rId16" w:history="1">
              <w:r w:rsidRPr="003F44CD">
                <w:rPr>
                  <w:rStyle w:val="Hyperlink"/>
                  <w:rFonts w:cs="Calibri"/>
                  <w:sz w:val="20"/>
                  <w:szCs w:val="20"/>
                  <w:bdr w:val="none" w:sz="0" w:space="0" w:color="auto" w:frame="1"/>
                </w:rPr>
                <w:t>seema.ahuja@biocon.com</w:t>
              </w:r>
            </w:hyperlink>
            <w:r w:rsidRPr="00016279">
              <w:rPr>
                <w:rStyle w:val="Hyperlink"/>
                <w:rFonts w:cs="Calibri"/>
                <w:sz w:val="20"/>
                <w:szCs w:val="20"/>
              </w:rPr>
              <w:t xml:space="preserve">   </w:t>
            </w:r>
          </w:p>
          <w:p w14:paraId="05E6BA95" w14:textId="77777777" w:rsidR="00244481" w:rsidRPr="00016279" w:rsidRDefault="00244481" w:rsidP="00A2412D">
            <w:pPr>
              <w:pStyle w:val="NoSpacing"/>
              <w:rPr>
                <w:rStyle w:val="Hyperlink"/>
                <w:rFonts w:cs="Calibri"/>
                <w:sz w:val="20"/>
                <w:szCs w:val="20"/>
              </w:rPr>
            </w:pPr>
          </w:p>
          <w:p w14:paraId="7F90A7D6" w14:textId="77777777" w:rsidR="00244481" w:rsidRPr="003F44CD" w:rsidRDefault="00244481" w:rsidP="00A2412D">
            <w:pPr>
              <w:pStyle w:val="NoSpacing"/>
              <w:rPr>
                <w:rFonts w:cs="Calibri"/>
                <w:b/>
                <w:bCs/>
                <w:sz w:val="20"/>
                <w:szCs w:val="20"/>
              </w:rPr>
            </w:pPr>
            <w:r w:rsidRPr="003F44CD">
              <w:rPr>
                <w:rFonts w:cs="Calibri"/>
                <w:b/>
                <w:bCs/>
                <w:sz w:val="20"/>
                <w:szCs w:val="20"/>
              </w:rPr>
              <w:t>Lance Longwell</w:t>
            </w:r>
          </w:p>
          <w:p w14:paraId="6B83C868" w14:textId="77777777" w:rsidR="00244481" w:rsidRPr="003F44CD" w:rsidRDefault="00244481" w:rsidP="00A2412D">
            <w:pPr>
              <w:pStyle w:val="NoSpacing"/>
              <w:rPr>
                <w:rFonts w:cs="Calibri"/>
                <w:sz w:val="20"/>
                <w:szCs w:val="20"/>
              </w:rPr>
            </w:pPr>
            <w:r w:rsidRPr="003F44CD">
              <w:rPr>
                <w:rFonts w:cs="Calibri"/>
                <w:sz w:val="20"/>
                <w:szCs w:val="20"/>
              </w:rPr>
              <w:t xml:space="preserve">Public Relations Lead – Advanced Markets </w:t>
            </w:r>
          </w:p>
          <w:p w14:paraId="39AC2DCD" w14:textId="77777777" w:rsidR="00244481" w:rsidRPr="003F44CD" w:rsidRDefault="00244481" w:rsidP="00A2412D">
            <w:pPr>
              <w:pStyle w:val="NoSpacing"/>
              <w:rPr>
                <w:rFonts w:cs="Calibri"/>
                <w:sz w:val="20"/>
                <w:szCs w:val="20"/>
              </w:rPr>
            </w:pPr>
            <w:r w:rsidRPr="003F44CD">
              <w:rPr>
                <w:rFonts w:cs="Calibri"/>
                <w:sz w:val="20"/>
                <w:szCs w:val="20"/>
              </w:rPr>
              <w:t>+1 857 270 4391</w:t>
            </w:r>
          </w:p>
          <w:p w14:paraId="1D65DA3B" w14:textId="77777777" w:rsidR="00244481" w:rsidRPr="00016279" w:rsidRDefault="00244481" w:rsidP="00A2412D">
            <w:pPr>
              <w:pStyle w:val="NoSpacing"/>
              <w:rPr>
                <w:rFonts w:cs="Calibri"/>
                <w:i/>
                <w:iCs/>
                <w:sz w:val="20"/>
                <w:szCs w:val="20"/>
              </w:rPr>
            </w:pPr>
            <w:hyperlink r:id="rId17" w:history="1">
              <w:r w:rsidRPr="003F44CD">
                <w:rPr>
                  <w:rStyle w:val="Hyperlink"/>
                  <w:rFonts w:cs="Calibri"/>
                  <w:sz w:val="20"/>
                  <w:szCs w:val="20"/>
                </w:rPr>
                <w:t>lance.longwell@biocon.com</w:t>
              </w:r>
            </w:hyperlink>
          </w:p>
        </w:tc>
        <w:tc>
          <w:tcPr>
            <w:tcW w:w="4693" w:type="dxa"/>
            <w:tcBorders>
              <w:top w:val="nil"/>
              <w:left w:val="nil"/>
              <w:bottom w:val="single" w:sz="8" w:space="0" w:color="auto"/>
              <w:right w:val="single" w:sz="8" w:space="0" w:color="auto"/>
            </w:tcBorders>
            <w:tcMar>
              <w:top w:w="0" w:type="dxa"/>
              <w:left w:w="108" w:type="dxa"/>
              <w:bottom w:w="0" w:type="dxa"/>
              <w:right w:w="108" w:type="dxa"/>
            </w:tcMar>
          </w:tcPr>
          <w:p w14:paraId="6771CB38" w14:textId="77777777" w:rsidR="00244481" w:rsidRPr="003F44CD" w:rsidRDefault="00244481" w:rsidP="00A2412D">
            <w:pPr>
              <w:pStyle w:val="NoSpacing"/>
              <w:rPr>
                <w:rFonts w:cs="Calibri"/>
                <w:b/>
                <w:bCs/>
                <w:sz w:val="20"/>
                <w:szCs w:val="20"/>
              </w:rPr>
            </w:pPr>
            <w:r w:rsidRPr="003F44CD">
              <w:rPr>
                <w:rFonts w:cs="Calibri"/>
                <w:b/>
                <w:bCs/>
                <w:sz w:val="20"/>
                <w:szCs w:val="20"/>
              </w:rPr>
              <w:t>Saurabh Paliwal</w:t>
            </w:r>
          </w:p>
          <w:p w14:paraId="138E0F9E" w14:textId="77777777" w:rsidR="00244481" w:rsidRPr="003F44CD" w:rsidRDefault="00244481" w:rsidP="00A2412D">
            <w:pPr>
              <w:pStyle w:val="NoSpacing"/>
              <w:rPr>
                <w:rFonts w:cs="Calibri"/>
                <w:sz w:val="20"/>
                <w:szCs w:val="20"/>
              </w:rPr>
            </w:pPr>
            <w:r w:rsidRPr="003F44CD">
              <w:rPr>
                <w:rFonts w:cs="Calibri"/>
                <w:sz w:val="20"/>
                <w:szCs w:val="20"/>
              </w:rPr>
              <w:t>Head - Investor Relations</w:t>
            </w:r>
          </w:p>
          <w:p w14:paraId="4BF9E5EE" w14:textId="77777777" w:rsidR="00244481" w:rsidRPr="003F44CD" w:rsidRDefault="00244481" w:rsidP="00A2412D">
            <w:pPr>
              <w:pStyle w:val="NoSpacing"/>
              <w:rPr>
                <w:rFonts w:cs="Calibri"/>
                <w:sz w:val="20"/>
                <w:szCs w:val="20"/>
              </w:rPr>
            </w:pPr>
            <w:r w:rsidRPr="003F44CD">
              <w:rPr>
                <w:rFonts w:cs="Calibri"/>
                <w:sz w:val="20"/>
                <w:szCs w:val="20"/>
              </w:rPr>
              <w:t>Biocon</w:t>
            </w:r>
          </w:p>
          <w:p w14:paraId="4CF6CAE1" w14:textId="77777777" w:rsidR="00244481" w:rsidRPr="003F44CD" w:rsidRDefault="00244481" w:rsidP="00A2412D">
            <w:pPr>
              <w:pStyle w:val="NoSpacing"/>
              <w:rPr>
                <w:rFonts w:cs="Calibri"/>
                <w:sz w:val="20"/>
                <w:szCs w:val="20"/>
              </w:rPr>
            </w:pPr>
          </w:p>
          <w:p w14:paraId="32D1F766" w14:textId="77777777" w:rsidR="00244481" w:rsidRPr="003F44CD" w:rsidRDefault="00244481" w:rsidP="00A2412D">
            <w:pPr>
              <w:pStyle w:val="NoSpacing"/>
              <w:rPr>
                <w:rFonts w:cs="Calibri"/>
                <w:color w:val="000000"/>
                <w:sz w:val="20"/>
                <w:szCs w:val="20"/>
                <w:bdr w:val="none" w:sz="0" w:space="0" w:color="auto" w:frame="1"/>
              </w:rPr>
            </w:pPr>
            <w:r w:rsidRPr="003F44CD">
              <w:rPr>
                <w:rFonts w:cs="Calibri"/>
                <w:color w:val="000000"/>
                <w:sz w:val="20"/>
                <w:szCs w:val="20"/>
                <w:bdr w:val="none" w:sz="0" w:space="0" w:color="auto" w:frame="1"/>
              </w:rPr>
              <w:t>+91 95383 80801</w:t>
            </w:r>
          </w:p>
          <w:p w14:paraId="3C0CDFD8" w14:textId="77777777" w:rsidR="00244481" w:rsidRPr="00016279" w:rsidRDefault="00244481" w:rsidP="00A2412D">
            <w:pPr>
              <w:jc w:val="both"/>
              <w:rPr>
                <w:rFonts w:cs="Calibri"/>
                <w:sz w:val="20"/>
                <w:szCs w:val="20"/>
              </w:rPr>
            </w:pPr>
            <w:hyperlink r:id="rId18" w:history="1">
              <w:r w:rsidRPr="00016279">
                <w:rPr>
                  <w:rStyle w:val="Hyperlink"/>
                  <w:rFonts w:cs="Calibri"/>
                  <w:sz w:val="20"/>
                  <w:szCs w:val="20"/>
                </w:rPr>
                <w:t>saurabh.paliwal@biocon.com</w:t>
              </w:r>
            </w:hyperlink>
          </w:p>
        </w:tc>
      </w:tr>
    </w:tbl>
    <w:p w14:paraId="0DD3EEB0" w14:textId="77777777" w:rsidR="001C127C" w:rsidRDefault="001C127C" w:rsidP="00244481">
      <w:pPr>
        <w:widowControl w:val="0"/>
        <w:autoSpaceDE w:val="0"/>
        <w:autoSpaceDN w:val="0"/>
        <w:adjustRightInd w:val="0"/>
        <w:spacing w:after="0" w:line="240" w:lineRule="auto"/>
        <w:jc w:val="both"/>
        <w:rPr>
          <w:rFonts w:cstheme="minorHAnsi"/>
        </w:rPr>
      </w:pPr>
    </w:p>
    <w:sectPr w:rsidR="001C127C" w:rsidSect="00D329CC">
      <w:headerReference w:type="default" r:id="rId19"/>
      <w:footerReference w:type="default" r:id="rId20"/>
      <w:pgSz w:w="11906" w:h="16838"/>
      <w:pgMar w:top="1440" w:right="1440" w:bottom="1440" w:left="1440" w:header="708" w:footer="708" w:gutter="0"/>
      <w:pgBorders w:offsetFrom="page">
        <w:top w:val="double" w:sz="6" w:space="24" w:color="5B9BD5" w:themeColor="accent5"/>
        <w:left w:val="double" w:sz="6" w:space="24" w:color="5B9BD5" w:themeColor="accent5"/>
        <w:bottom w:val="double" w:sz="6" w:space="24" w:color="5B9BD5" w:themeColor="accent5"/>
        <w:right w:val="double" w:sz="6" w:space="24" w:color="5B9BD5" w:themeColor="accent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66E5" w14:textId="77777777" w:rsidR="0060705C" w:rsidRDefault="0060705C" w:rsidP="0069251F">
      <w:pPr>
        <w:spacing w:after="0" w:line="240" w:lineRule="auto"/>
      </w:pPr>
      <w:r>
        <w:separator/>
      </w:r>
    </w:p>
  </w:endnote>
  <w:endnote w:type="continuationSeparator" w:id="0">
    <w:p w14:paraId="7F640640" w14:textId="77777777" w:rsidR="0060705C" w:rsidRDefault="0060705C" w:rsidP="0069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020033"/>
      <w:docPartObj>
        <w:docPartGallery w:val="Page Numbers (Bottom of Page)"/>
        <w:docPartUnique/>
      </w:docPartObj>
    </w:sdtPr>
    <w:sdtEndPr>
      <w:rPr>
        <w:noProof/>
      </w:rPr>
    </w:sdtEndPr>
    <w:sdtContent>
      <w:p w14:paraId="6E162FA2" w14:textId="13B8F5CF" w:rsidR="00811A4D" w:rsidRDefault="00811A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782CC" w14:textId="77777777" w:rsidR="00811A4D" w:rsidRDefault="00811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83DE" w14:textId="77777777" w:rsidR="0060705C" w:rsidRDefault="0060705C" w:rsidP="0069251F">
      <w:pPr>
        <w:spacing w:after="0" w:line="240" w:lineRule="auto"/>
      </w:pPr>
      <w:r>
        <w:separator/>
      </w:r>
    </w:p>
  </w:footnote>
  <w:footnote w:type="continuationSeparator" w:id="0">
    <w:p w14:paraId="2C2027B1" w14:textId="77777777" w:rsidR="0060705C" w:rsidRDefault="0060705C" w:rsidP="00692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F5DC" w14:textId="77777777" w:rsidR="00244481" w:rsidRDefault="00244481" w:rsidP="00244481">
    <w:pPr>
      <w:pStyle w:val="Header"/>
    </w:pPr>
    <w:r>
      <w:rPr>
        <w:noProof/>
        <w:lang w:eastAsia="en-IN"/>
      </w:rPr>
      <w:drawing>
        <wp:inline distT="0" distB="0" distL="0" distR="0" wp14:anchorId="4A96F96C" wp14:editId="024C414B">
          <wp:extent cx="995991" cy="373380"/>
          <wp:effectExtent l="0" t="0" r="0" b="7620"/>
          <wp:docPr id="6" name="Picture 6" descr="A blu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A blue text on a white background&#10;&#10;AI-generated content may be incorrect."/>
                  <pic:cNvPicPr/>
                </pic:nvPicPr>
                <pic:blipFill>
                  <a:blip r:embed="rId1" cstate="print"/>
                  <a:srcRect/>
                  <a:stretch/>
                </pic:blipFill>
                <pic:spPr>
                  <a:xfrm>
                    <a:off x="0" y="0"/>
                    <a:ext cx="1020812" cy="382685"/>
                  </a:xfrm>
                  <a:prstGeom prst="rect">
                    <a:avLst/>
                  </a:prstGeom>
                  <a:ln>
                    <a:noFill/>
                  </a:ln>
                </pic:spPr>
              </pic:pic>
            </a:graphicData>
          </a:graphic>
        </wp:inline>
      </w:drawing>
    </w:r>
    <w:r>
      <w:t xml:space="preserve">          </w:t>
    </w:r>
    <w:r>
      <w:tab/>
    </w:r>
    <w:r>
      <w:tab/>
      <w:t xml:space="preserve">                      </w:t>
    </w:r>
    <w:r>
      <w:rPr>
        <w:rFonts w:cstheme="minorHAnsi"/>
        <w:noProof/>
        <w:lang w:eastAsia="en-IN"/>
      </w:rPr>
      <w:t xml:space="preserve">         </w:t>
    </w:r>
    <w:r w:rsidRPr="004A7BF0">
      <w:rPr>
        <w:rFonts w:cstheme="minorHAnsi"/>
        <w:noProof/>
        <w:lang w:eastAsia="en-IN"/>
      </w:rPr>
      <w:drawing>
        <wp:inline distT="0" distB="0" distL="0" distR="0" wp14:anchorId="14446E91" wp14:editId="20525A0A">
          <wp:extent cx="1536700" cy="333774"/>
          <wp:effectExtent l="0" t="0" r="6350" b="9525"/>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con Biologics | LinkedIn"/>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925753" cy="418277"/>
                  </a:xfrm>
                  <a:prstGeom prst="rect">
                    <a:avLst/>
                  </a:prstGeom>
                  <a:noFill/>
                  <a:ln>
                    <a:noFill/>
                  </a:ln>
                  <a:extLst>
                    <a:ext uri="{53640926-AAD7-44D8-BBD7-CCE9431645EC}">
                      <a14:shadowObscured xmlns:a14="http://schemas.microsoft.com/office/drawing/2010/main"/>
                    </a:ext>
                  </a:extLst>
                </pic:spPr>
              </pic:pic>
            </a:graphicData>
          </a:graphic>
        </wp:inline>
      </w:drawing>
    </w:r>
  </w:p>
  <w:p w14:paraId="3561CE09" w14:textId="2E94D554" w:rsidR="00ED6B01" w:rsidRPr="00244481" w:rsidRDefault="00ED6B01" w:rsidP="00244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D1C44"/>
    <w:multiLevelType w:val="multilevel"/>
    <w:tmpl w:val="42E0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75E95"/>
    <w:multiLevelType w:val="hybridMultilevel"/>
    <w:tmpl w:val="73E0CE06"/>
    <w:lvl w:ilvl="0" w:tplc="0110193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54FB5"/>
    <w:multiLevelType w:val="multilevel"/>
    <w:tmpl w:val="2CA2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378901">
    <w:abstractNumId w:val="0"/>
  </w:num>
  <w:num w:numId="2" w16cid:durableId="658774823">
    <w:abstractNumId w:val="2"/>
  </w:num>
  <w:num w:numId="3" w16cid:durableId="1768233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EB"/>
    <w:rsid w:val="0002094A"/>
    <w:rsid w:val="000216CA"/>
    <w:rsid w:val="00024D64"/>
    <w:rsid w:val="00053689"/>
    <w:rsid w:val="00063433"/>
    <w:rsid w:val="00085294"/>
    <w:rsid w:val="00085623"/>
    <w:rsid w:val="00085C20"/>
    <w:rsid w:val="000952F1"/>
    <w:rsid w:val="000C4E07"/>
    <w:rsid w:val="000E2452"/>
    <w:rsid w:val="001067A5"/>
    <w:rsid w:val="001100A9"/>
    <w:rsid w:val="00122C43"/>
    <w:rsid w:val="00135EFE"/>
    <w:rsid w:val="001520F8"/>
    <w:rsid w:val="001529E9"/>
    <w:rsid w:val="001A1DC8"/>
    <w:rsid w:val="001A6556"/>
    <w:rsid w:val="001C127C"/>
    <w:rsid w:val="001C73A5"/>
    <w:rsid w:val="001D537A"/>
    <w:rsid w:val="001E0525"/>
    <w:rsid w:val="001F1640"/>
    <w:rsid w:val="00222F15"/>
    <w:rsid w:val="00224100"/>
    <w:rsid w:val="0022701F"/>
    <w:rsid w:val="002404D4"/>
    <w:rsid w:val="00244481"/>
    <w:rsid w:val="00261731"/>
    <w:rsid w:val="00263111"/>
    <w:rsid w:val="00280CA1"/>
    <w:rsid w:val="0029298A"/>
    <w:rsid w:val="002A5BC6"/>
    <w:rsid w:val="002A784B"/>
    <w:rsid w:val="002C2FF0"/>
    <w:rsid w:val="002D0922"/>
    <w:rsid w:val="00301119"/>
    <w:rsid w:val="0031265F"/>
    <w:rsid w:val="003576F4"/>
    <w:rsid w:val="00380550"/>
    <w:rsid w:val="00382C2E"/>
    <w:rsid w:val="003833FF"/>
    <w:rsid w:val="003A49E7"/>
    <w:rsid w:val="003D0B30"/>
    <w:rsid w:val="003F5579"/>
    <w:rsid w:val="00422FF9"/>
    <w:rsid w:val="004C6DF9"/>
    <w:rsid w:val="004D4D95"/>
    <w:rsid w:val="004E07FE"/>
    <w:rsid w:val="00533D36"/>
    <w:rsid w:val="00552778"/>
    <w:rsid w:val="00552FE9"/>
    <w:rsid w:val="00554473"/>
    <w:rsid w:val="005615DC"/>
    <w:rsid w:val="0057232C"/>
    <w:rsid w:val="005A53BF"/>
    <w:rsid w:val="005B5C9E"/>
    <w:rsid w:val="005D1D5D"/>
    <w:rsid w:val="00602082"/>
    <w:rsid w:val="0060705C"/>
    <w:rsid w:val="00654AAF"/>
    <w:rsid w:val="00691661"/>
    <w:rsid w:val="0069251F"/>
    <w:rsid w:val="006A412D"/>
    <w:rsid w:val="006A5C44"/>
    <w:rsid w:val="006F606F"/>
    <w:rsid w:val="00720B71"/>
    <w:rsid w:val="00731B34"/>
    <w:rsid w:val="0076169F"/>
    <w:rsid w:val="007638FB"/>
    <w:rsid w:val="00783727"/>
    <w:rsid w:val="007B5A57"/>
    <w:rsid w:val="007C5D38"/>
    <w:rsid w:val="007D00EE"/>
    <w:rsid w:val="007D21D6"/>
    <w:rsid w:val="007E1A9E"/>
    <w:rsid w:val="007E3FD9"/>
    <w:rsid w:val="007E680C"/>
    <w:rsid w:val="007F3EC3"/>
    <w:rsid w:val="008074F3"/>
    <w:rsid w:val="00811A4D"/>
    <w:rsid w:val="0084727F"/>
    <w:rsid w:val="008877DF"/>
    <w:rsid w:val="0089542B"/>
    <w:rsid w:val="008C07D3"/>
    <w:rsid w:val="008D7AE1"/>
    <w:rsid w:val="008E487B"/>
    <w:rsid w:val="0090248A"/>
    <w:rsid w:val="00940716"/>
    <w:rsid w:val="009574E6"/>
    <w:rsid w:val="009656B3"/>
    <w:rsid w:val="00966A85"/>
    <w:rsid w:val="009B0899"/>
    <w:rsid w:val="009C4414"/>
    <w:rsid w:val="009C6B7F"/>
    <w:rsid w:val="009F0172"/>
    <w:rsid w:val="00A07591"/>
    <w:rsid w:val="00A403FF"/>
    <w:rsid w:val="00A965A8"/>
    <w:rsid w:val="00A966BD"/>
    <w:rsid w:val="00A97AA2"/>
    <w:rsid w:val="00AA1F9F"/>
    <w:rsid w:val="00AC273F"/>
    <w:rsid w:val="00AC4743"/>
    <w:rsid w:val="00AC79B1"/>
    <w:rsid w:val="00AD4C1A"/>
    <w:rsid w:val="00B16F03"/>
    <w:rsid w:val="00B33E32"/>
    <w:rsid w:val="00B41C5A"/>
    <w:rsid w:val="00B679F8"/>
    <w:rsid w:val="00B84ED2"/>
    <w:rsid w:val="00B9178D"/>
    <w:rsid w:val="00B926D0"/>
    <w:rsid w:val="00BB5B6D"/>
    <w:rsid w:val="00BD7EED"/>
    <w:rsid w:val="00C23273"/>
    <w:rsid w:val="00C32BE8"/>
    <w:rsid w:val="00C61C99"/>
    <w:rsid w:val="00C756B8"/>
    <w:rsid w:val="00C8792E"/>
    <w:rsid w:val="00C934A7"/>
    <w:rsid w:val="00C95214"/>
    <w:rsid w:val="00CB3FF3"/>
    <w:rsid w:val="00CB42AB"/>
    <w:rsid w:val="00CC1D0D"/>
    <w:rsid w:val="00CC3A37"/>
    <w:rsid w:val="00CD0028"/>
    <w:rsid w:val="00CD648B"/>
    <w:rsid w:val="00CE7D59"/>
    <w:rsid w:val="00D118FF"/>
    <w:rsid w:val="00D11AF9"/>
    <w:rsid w:val="00D329CC"/>
    <w:rsid w:val="00D36B25"/>
    <w:rsid w:val="00D54D53"/>
    <w:rsid w:val="00D9070C"/>
    <w:rsid w:val="00D96D09"/>
    <w:rsid w:val="00DE0A3C"/>
    <w:rsid w:val="00E1307B"/>
    <w:rsid w:val="00E9053C"/>
    <w:rsid w:val="00EA0945"/>
    <w:rsid w:val="00EA5035"/>
    <w:rsid w:val="00ED05A1"/>
    <w:rsid w:val="00ED6B01"/>
    <w:rsid w:val="00EE69EB"/>
    <w:rsid w:val="00F0170C"/>
    <w:rsid w:val="00F03BF9"/>
    <w:rsid w:val="00F11C62"/>
    <w:rsid w:val="00F203A0"/>
    <w:rsid w:val="00F36794"/>
    <w:rsid w:val="00F53724"/>
    <w:rsid w:val="00F66126"/>
    <w:rsid w:val="00F84F00"/>
    <w:rsid w:val="00F90C15"/>
    <w:rsid w:val="00FA2523"/>
    <w:rsid w:val="00FA602C"/>
    <w:rsid w:val="00FB38BB"/>
    <w:rsid w:val="00FC10D6"/>
    <w:rsid w:val="00FF3615"/>
    <w:rsid w:val="00FF37AB"/>
    <w:rsid w:val="00FF75E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A65D2"/>
  <w15:chartTrackingRefBased/>
  <w15:docId w15:val="{B8E47AFD-ADF0-4BF5-A742-4DD2A050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4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9070C"/>
    <w:pPr>
      <w:spacing w:after="0" w:line="240" w:lineRule="auto"/>
    </w:pPr>
  </w:style>
  <w:style w:type="paragraph" w:styleId="Header">
    <w:name w:val="header"/>
    <w:basedOn w:val="Normal"/>
    <w:link w:val="HeaderChar"/>
    <w:uiPriority w:val="99"/>
    <w:unhideWhenUsed/>
    <w:rsid w:val="00ED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B01"/>
  </w:style>
  <w:style w:type="paragraph" w:styleId="Footer">
    <w:name w:val="footer"/>
    <w:basedOn w:val="Normal"/>
    <w:link w:val="FooterChar"/>
    <w:uiPriority w:val="99"/>
    <w:unhideWhenUsed/>
    <w:rsid w:val="00ED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B01"/>
  </w:style>
  <w:style w:type="paragraph" w:styleId="NoSpacing">
    <w:name w:val="No Spacing"/>
    <w:link w:val="NoSpacingChar"/>
    <w:uiPriority w:val="1"/>
    <w:qFormat/>
    <w:rsid w:val="00382C2E"/>
    <w:pPr>
      <w:spacing w:after="0" w:line="240" w:lineRule="auto"/>
    </w:pPr>
  </w:style>
  <w:style w:type="paragraph" w:customStyle="1" w:styleId="xmsonormal">
    <w:name w:val="x_msonormal"/>
    <w:basedOn w:val="Normal"/>
    <w:rsid w:val="001100A9"/>
    <w:pPr>
      <w:spacing w:before="100" w:beforeAutospacing="1" w:after="100" w:afterAutospacing="1" w:line="240" w:lineRule="auto"/>
    </w:pPr>
    <w:rPr>
      <w:rFonts w:ascii="Calibri" w:hAnsi="Calibri" w:cs="Calibri"/>
      <w:kern w:val="0"/>
      <w:lang w:eastAsia="en-IN"/>
      <w14:ligatures w14:val="none"/>
    </w:rPr>
  </w:style>
  <w:style w:type="paragraph" w:customStyle="1" w:styleId="xmsonospacing">
    <w:name w:val="x_msonospacing"/>
    <w:basedOn w:val="Normal"/>
    <w:rsid w:val="009F0172"/>
    <w:pPr>
      <w:spacing w:before="100" w:beforeAutospacing="1" w:after="100" w:afterAutospacing="1" w:line="240" w:lineRule="auto"/>
    </w:pPr>
    <w:rPr>
      <w:rFonts w:ascii="Aptos" w:hAnsi="Aptos" w:cs="Aptos"/>
      <w:kern w:val="0"/>
      <w:sz w:val="24"/>
      <w:szCs w:val="24"/>
      <w:lang w:eastAsia="en-IN"/>
      <w14:ligatures w14:val="none"/>
    </w:rPr>
  </w:style>
  <w:style w:type="character" w:customStyle="1" w:styleId="xapple-converted-space">
    <w:name w:val="x_apple-converted-space"/>
    <w:basedOn w:val="DefaultParagraphFont"/>
    <w:rsid w:val="009F0172"/>
  </w:style>
  <w:style w:type="character" w:customStyle="1" w:styleId="xbumpedfont15">
    <w:name w:val="x_bumpedfont15"/>
    <w:basedOn w:val="DefaultParagraphFont"/>
    <w:rsid w:val="009F0172"/>
  </w:style>
  <w:style w:type="character" w:styleId="Emphasis">
    <w:name w:val="Emphasis"/>
    <w:basedOn w:val="DefaultParagraphFont"/>
    <w:uiPriority w:val="20"/>
    <w:qFormat/>
    <w:rsid w:val="009F0172"/>
    <w:rPr>
      <w:i/>
      <w:iCs/>
    </w:rPr>
  </w:style>
  <w:style w:type="paragraph" w:styleId="NormalWeb">
    <w:name w:val="Normal (Web)"/>
    <w:basedOn w:val="Normal"/>
    <w:uiPriority w:val="99"/>
    <w:unhideWhenUsed/>
    <w:rsid w:val="002A784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1529E9"/>
    <w:rPr>
      <w:color w:val="0000FF"/>
      <w:u w:val="single"/>
    </w:rPr>
  </w:style>
  <w:style w:type="character" w:customStyle="1" w:styleId="NoSpacingChar">
    <w:name w:val="No Spacing Char"/>
    <w:basedOn w:val="DefaultParagraphFont"/>
    <w:link w:val="NoSpacing"/>
    <w:uiPriority w:val="1"/>
    <w:locked/>
    <w:rsid w:val="001529E9"/>
  </w:style>
  <w:style w:type="character" w:customStyle="1" w:styleId="xn-location">
    <w:name w:val="xn-location"/>
    <w:basedOn w:val="DefaultParagraphFont"/>
    <w:rsid w:val="001529E9"/>
  </w:style>
  <w:style w:type="character" w:styleId="UnresolvedMention">
    <w:name w:val="Unresolved Mention"/>
    <w:basedOn w:val="DefaultParagraphFont"/>
    <w:uiPriority w:val="99"/>
    <w:semiHidden/>
    <w:unhideWhenUsed/>
    <w:rsid w:val="00380550"/>
    <w:rPr>
      <w:color w:val="605E5C"/>
      <w:shd w:val="clear" w:color="auto" w:fill="E1DFDD"/>
    </w:rPr>
  </w:style>
  <w:style w:type="character" w:customStyle="1" w:styleId="Heading1Char">
    <w:name w:val="Heading 1 Char"/>
    <w:basedOn w:val="DefaultParagraphFont"/>
    <w:link w:val="Heading1"/>
    <w:uiPriority w:val="9"/>
    <w:rsid w:val="009574E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9542B"/>
    <w:rPr>
      <w:sz w:val="16"/>
      <w:szCs w:val="16"/>
    </w:rPr>
  </w:style>
  <w:style w:type="paragraph" w:styleId="CommentText">
    <w:name w:val="annotation text"/>
    <w:basedOn w:val="Normal"/>
    <w:link w:val="CommentTextChar"/>
    <w:uiPriority w:val="99"/>
    <w:unhideWhenUsed/>
    <w:rsid w:val="0089542B"/>
    <w:pPr>
      <w:spacing w:line="240" w:lineRule="auto"/>
    </w:pPr>
    <w:rPr>
      <w:sz w:val="20"/>
      <w:szCs w:val="20"/>
    </w:rPr>
  </w:style>
  <w:style w:type="character" w:customStyle="1" w:styleId="CommentTextChar">
    <w:name w:val="Comment Text Char"/>
    <w:basedOn w:val="DefaultParagraphFont"/>
    <w:link w:val="CommentText"/>
    <w:uiPriority w:val="99"/>
    <w:rsid w:val="0089542B"/>
    <w:rPr>
      <w:sz w:val="20"/>
      <w:szCs w:val="20"/>
    </w:rPr>
  </w:style>
  <w:style w:type="paragraph" w:styleId="CommentSubject">
    <w:name w:val="annotation subject"/>
    <w:basedOn w:val="CommentText"/>
    <w:next w:val="CommentText"/>
    <w:link w:val="CommentSubjectChar"/>
    <w:uiPriority w:val="99"/>
    <w:semiHidden/>
    <w:unhideWhenUsed/>
    <w:rsid w:val="0089542B"/>
    <w:rPr>
      <w:b/>
      <w:bCs/>
    </w:rPr>
  </w:style>
  <w:style w:type="character" w:customStyle="1" w:styleId="CommentSubjectChar">
    <w:name w:val="Comment Subject Char"/>
    <w:basedOn w:val="CommentTextChar"/>
    <w:link w:val="CommentSubject"/>
    <w:uiPriority w:val="99"/>
    <w:semiHidden/>
    <w:rsid w:val="0089542B"/>
    <w:rPr>
      <w:b/>
      <w:bCs/>
      <w:sz w:val="20"/>
      <w:szCs w:val="20"/>
    </w:rPr>
  </w:style>
  <w:style w:type="character" w:customStyle="1" w:styleId="cf01">
    <w:name w:val="cf01"/>
    <w:basedOn w:val="DefaultParagraphFont"/>
    <w:rsid w:val="00244481"/>
    <w:rPr>
      <w:rFonts w:ascii="Segoe UI" w:hAnsi="Segoe UI" w:cs="Segoe UI" w:hint="default"/>
      <w:sz w:val="18"/>
      <w:szCs w:val="18"/>
    </w:rPr>
  </w:style>
  <w:style w:type="character" w:styleId="Strong">
    <w:name w:val="Strong"/>
    <w:basedOn w:val="DefaultParagraphFont"/>
    <w:uiPriority w:val="22"/>
    <w:qFormat/>
    <w:rsid w:val="00244481"/>
    <w:rPr>
      <w:b/>
      <w:bCs/>
    </w:rPr>
  </w:style>
  <w:style w:type="character" w:styleId="FollowedHyperlink">
    <w:name w:val="FollowedHyperlink"/>
    <w:basedOn w:val="DefaultParagraphFont"/>
    <w:uiPriority w:val="99"/>
    <w:semiHidden/>
    <w:unhideWhenUsed/>
    <w:rsid w:val="00D96D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59013">
      <w:bodyDiv w:val="1"/>
      <w:marLeft w:val="0"/>
      <w:marRight w:val="0"/>
      <w:marTop w:val="0"/>
      <w:marBottom w:val="0"/>
      <w:divBdr>
        <w:top w:val="none" w:sz="0" w:space="0" w:color="auto"/>
        <w:left w:val="none" w:sz="0" w:space="0" w:color="auto"/>
        <w:bottom w:val="none" w:sz="0" w:space="0" w:color="auto"/>
        <w:right w:val="none" w:sz="0" w:space="0" w:color="auto"/>
      </w:divBdr>
    </w:div>
    <w:div w:id="310444712">
      <w:bodyDiv w:val="1"/>
      <w:marLeft w:val="0"/>
      <w:marRight w:val="0"/>
      <w:marTop w:val="0"/>
      <w:marBottom w:val="0"/>
      <w:divBdr>
        <w:top w:val="none" w:sz="0" w:space="0" w:color="auto"/>
        <w:left w:val="none" w:sz="0" w:space="0" w:color="auto"/>
        <w:bottom w:val="none" w:sz="0" w:space="0" w:color="auto"/>
        <w:right w:val="none" w:sz="0" w:space="0" w:color="auto"/>
      </w:divBdr>
      <w:divsChild>
        <w:div w:id="618493230">
          <w:marLeft w:val="0"/>
          <w:marRight w:val="0"/>
          <w:marTop w:val="0"/>
          <w:marBottom w:val="0"/>
          <w:divBdr>
            <w:top w:val="none" w:sz="0" w:space="0" w:color="auto"/>
            <w:left w:val="none" w:sz="0" w:space="0" w:color="auto"/>
            <w:bottom w:val="none" w:sz="0" w:space="0" w:color="auto"/>
            <w:right w:val="none" w:sz="0" w:space="0" w:color="auto"/>
          </w:divBdr>
          <w:divsChild>
            <w:div w:id="1265380176">
              <w:marLeft w:val="0"/>
              <w:marRight w:val="0"/>
              <w:marTop w:val="0"/>
              <w:marBottom w:val="0"/>
              <w:divBdr>
                <w:top w:val="none" w:sz="0" w:space="0" w:color="auto"/>
                <w:left w:val="none" w:sz="0" w:space="0" w:color="auto"/>
                <w:bottom w:val="none" w:sz="0" w:space="0" w:color="auto"/>
                <w:right w:val="none" w:sz="0" w:space="0" w:color="auto"/>
              </w:divBdr>
            </w:div>
          </w:divsChild>
        </w:div>
        <w:div w:id="1249344768">
          <w:marLeft w:val="0"/>
          <w:marRight w:val="0"/>
          <w:marTop w:val="0"/>
          <w:marBottom w:val="300"/>
          <w:divBdr>
            <w:top w:val="none" w:sz="0" w:space="0" w:color="auto"/>
            <w:left w:val="none" w:sz="0" w:space="0" w:color="auto"/>
            <w:bottom w:val="none" w:sz="0" w:space="0" w:color="auto"/>
            <w:right w:val="none" w:sz="0" w:space="0" w:color="auto"/>
          </w:divBdr>
          <w:divsChild>
            <w:div w:id="658460049">
              <w:marLeft w:val="0"/>
              <w:marRight w:val="0"/>
              <w:marTop w:val="0"/>
              <w:marBottom w:val="0"/>
              <w:divBdr>
                <w:top w:val="none" w:sz="0" w:space="0" w:color="auto"/>
                <w:left w:val="none" w:sz="0" w:space="0" w:color="auto"/>
                <w:bottom w:val="none" w:sz="0" w:space="0" w:color="auto"/>
                <w:right w:val="none" w:sz="0" w:space="0" w:color="auto"/>
              </w:divBdr>
              <w:divsChild>
                <w:div w:id="1193030907">
                  <w:marLeft w:val="-225"/>
                  <w:marRight w:val="-225"/>
                  <w:marTop w:val="0"/>
                  <w:marBottom w:val="0"/>
                  <w:divBdr>
                    <w:top w:val="none" w:sz="0" w:space="0" w:color="auto"/>
                    <w:left w:val="none" w:sz="0" w:space="0" w:color="auto"/>
                    <w:bottom w:val="none" w:sz="0" w:space="0" w:color="auto"/>
                    <w:right w:val="none" w:sz="0" w:space="0" w:color="auto"/>
                  </w:divBdr>
                  <w:divsChild>
                    <w:div w:id="1290356196">
                      <w:marLeft w:val="0"/>
                      <w:marRight w:val="0"/>
                      <w:marTop w:val="0"/>
                      <w:marBottom w:val="0"/>
                      <w:divBdr>
                        <w:top w:val="none" w:sz="0" w:space="0" w:color="auto"/>
                        <w:left w:val="none" w:sz="0" w:space="0" w:color="auto"/>
                        <w:bottom w:val="none" w:sz="0" w:space="0" w:color="auto"/>
                        <w:right w:val="none" w:sz="0" w:space="0" w:color="auto"/>
                      </w:divBdr>
                      <w:divsChild>
                        <w:div w:id="915676247">
                          <w:marLeft w:val="0"/>
                          <w:marRight w:val="0"/>
                          <w:marTop w:val="0"/>
                          <w:marBottom w:val="0"/>
                          <w:divBdr>
                            <w:top w:val="none" w:sz="0" w:space="0" w:color="auto"/>
                            <w:left w:val="none" w:sz="0" w:space="0" w:color="auto"/>
                            <w:bottom w:val="none" w:sz="0" w:space="0" w:color="auto"/>
                            <w:right w:val="none" w:sz="0" w:space="0" w:color="auto"/>
                          </w:divBdr>
                          <w:divsChild>
                            <w:div w:id="869562271">
                              <w:marLeft w:val="0"/>
                              <w:marRight w:val="0"/>
                              <w:marTop w:val="0"/>
                              <w:marBottom w:val="0"/>
                              <w:divBdr>
                                <w:top w:val="none" w:sz="0" w:space="0" w:color="auto"/>
                                <w:left w:val="none" w:sz="0" w:space="0" w:color="auto"/>
                                <w:bottom w:val="none" w:sz="0" w:space="0" w:color="auto"/>
                                <w:right w:val="none" w:sz="0" w:space="0" w:color="auto"/>
                              </w:divBdr>
                              <w:divsChild>
                                <w:div w:id="1522821622">
                                  <w:marLeft w:val="0"/>
                                  <w:marRight w:val="0"/>
                                  <w:marTop w:val="0"/>
                                  <w:marBottom w:val="525"/>
                                  <w:divBdr>
                                    <w:top w:val="none" w:sz="0" w:space="0" w:color="auto"/>
                                    <w:left w:val="none" w:sz="0" w:space="0" w:color="auto"/>
                                    <w:bottom w:val="none" w:sz="0" w:space="0" w:color="auto"/>
                                    <w:right w:val="none" w:sz="0" w:space="0" w:color="auto"/>
                                  </w:divBdr>
                                  <w:divsChild>
                                    <w:div w:id="419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804872">
      <w:bodyDiv w:val="1"/>
      <w:marLeft w:val="0"/>
      <w:marRight w:val="0"/>
      <w:marTop w:val="0"/>
      <w:marBottom w:val="0"/>
      <w:divBdr>
        <w:top w:val="none" w:sz="0" w:space="0" w:color="auto"/>
        <w:left w:val="none" w:sz="0" w:space="0" w:color="auto"/>
        <w:bottom w:val="none" w:sz="0" w:space="0" w:color="auto"/>
        <w:right w:val="none" w:sz="0" w:space="0" w:color="auto"/>
      </w:divBdr>
      <w:divsChild>
        <w:div w:id="411851564">
          <w:marLeft w:val="0"/>
          <w:marRight w:val="0"/>
          <w:marTop w:val="0"/>
          <w:marBottom w:val="0"/>
          <w:divBdr>
            <w:top w:val="none" w:sz="0" w:space="0" w:color="auto"/>
            <w:left w:val="none" w:sz="0" w:space="0" w:color="auto"/>
            <w:bottom w:val="none" w:sz="0" w:space="0" w:color="auto"/>
            <w:right w:val="none" w:sz="0" w:space="0" w:color="auto"/>
          </w:divBdr>
          <w:divsChild>
            <w:div w:id="1004553425">
              <w:marLeft w:val="0"/>
              <w:marRight w:val="0"/>
              <w:marTop w:val="0"/>
              <w:marBottom w:val="0"/>
              <w:divBdr>
                <w:top w:val="none" w:sz="0" w:space="0" w:color="auto"/>
                <w:left w:val="none" w:sz="0" w:space="0" w:color="auto"/>
                <w:bottom w:val="none" w:sz="0" w:space="0" w:color="auto"/>
                <w:right w:val="none" w:sz="0" w:space="0" w:color="auto"/>
              </w:divBdr>
            </w:div>
          </w:divsChild>
        </w:div>
        <w:div w:id="1558974470">
          <w:marLeft w:val="0"/>
          <w:marRight w:val="0"/>
          <w:marTop w:val="0"/>
          <w:marBottom w:val="300"/>
          <w:divBdr>
            <w:top w:val="none" w:sz="0" w:space="0" w:color="auto"/>
            <w:left w:val="none" w:sz="0" w:space="0" w:color="auto"/>
            <w:bottom w:val="none" w:sz="0" w:space="0" w:color="auto"/>
            <w:right w:val="none" w:sz="0" w:space="0" w:color="auto"/>
          </w:divBdr>
          <w:divsChild>
            <w:div w:id="466780034">
              <w:marLeft w:val="0"/>
              <w:marRight w:val="0"/>
              <w:marTop w:val="0"/>
              <w:marBottom w:val="0"/>
              <w:divBdr>
                <w:top w:val="none" w:sz="0" w:space="0" w:color="auto"/>
                <w:left w:val="none" w:sz="0" w:space="0" w:color="auto"/>
                <w:bottom w:val="none" w:sz="0" w:space="0" w:color="auto"/>
                <w:right w:val="none" w:sz="0" w:space="0" w:color="auto"/>
              </w:divBdr>
              <w:divsChild>
                <w:div w:id="1059212881">
                  <w:marLeft w:val="-225"/>
                  <w:marRight w:val="-225"/>
                  <w:marTop w:val="0"/>
                  <w:marBottom w:val="0"/>
                  <w:divBdr>
                    <w:top w:val="none" w:sz="0" w:space="0" w:color="auto"/>
                    <w:left w:val="none" w:sz="0" w:space="0" w:color="auto"/>
                    <w:bottom w:val="none" w:sz="0" w:space="0" w:color="auto"/>
                    <w:right w:val="none" w:sz="0" w:space="0" w:color="auto"/>
                  </w:divBdr>
                  <w:divsChild>
                    <w:div w:id="1792477903">
                      <w:marLeft w:val="0"/>
                      <w:marRight w:val="0"/>
                      <w:marTop w:val="0"/>
                      <w:marBottom w:val="0"/>
                      <w:divBdr>
                        <w:top w:val="none" w:sz="0" w:space="0" w:color="auto"/>
                        <w:left w:val="none" w:sz="0" w:space="0" w:color="auto"/>
                        <w:bottom w:val="none" w:sz="0" w:space="0" w:color="auto"/>
                        <w:right w:val="none" w:sz="0" w:space="0" w:color="auto"/>
                      </w:divBdr>
                      <w:divsChild>
                        <w:div w:id="1718120375">
                          <w:marLeft w:val="0"/>
                          <w:marRight w:val="0"/>
                          <w:marTop w:val="0"/>
                          <w:marBottom w:val="0"/>
                          <w:divBdr>
                            <w:top w:val="none" w:sz="0" w:space="0" w:color="auto"/>
                            <w:left w:val="none" w:sz="0" w:space="0" w:color="auto"/>
                            <w:bottom w:val="none" w:sz="0" w:space="0" w:color="auto"/>
                            <w:right w:val="none" w:sz="0" w:space="0" w:color="auto"/>
                          </w:divBdr>
                          <w:divsChild>
                            <w:div w:id="1148716208">
                              <w:marLeft w:val="0"/>
                              <w:marRight w:val="0"/>
                              <w:marTop w:val="0"/>
                              <w:marBottom w:val="0"/>
                              <w:divBdr>
                                <w:top w:val="none" w:sz="0" w:space="0" w:color="auto"/>
                                <w:left w:val="none" w:sz="0" w:space="0" w:color="auto"/>
                                <w:bottom w:val="none" w:sz="0" w:space="0" w:color="auto"/>
                                <w:right w:val="none" w:sz="0" w:space="0" w:color="auto"/>
                              </w:divBdr>
                              <w:divsChild>
                                <w:div w:id="939721423">
                                  <w:marLeft w:val="0"/>
                                  <w:marRight w:val="0"/>
                                  <w:marTop w:val="0"/>
                                  <w:marBottom w:val="525"/>
                                  <w:divBdr>
                                    <w:top w:val="none" w:sz="0" w:space="0" w:color="auto"/>
                                    <w:left w:val="none" w:sz="0" w:space="0" w:color="auto"/>
                                    <w:bottom w:val="none" w:sz="0" w:space="0" w:color="auto"/>
                                    <w:right w:val="none" w:sz="0" w:space="0" w:color="auto"/>
                                  </w:divBdr>
                                  <w:divsChild>
                                    <w:div w:id="13260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581497">
      <w:bodyDiv w:val="1"/>
      <w:marLeft w:val="0"/>
      <w:marRight w:val="0"/>
      <w:marTop w:val="0"/>
      <w:marBottom w:val="0"/>
      <w:divBdr>
        <w:top w:val="none" w:sz="0" w:space="0" w:color="auto"/>
        <w:left w:val="none" w:sz="0" w:space="0" w:color="auto"/>
        <w:bottom w:val="none" w:sz="0" w:space="0" w:color="auto"/>
        <w:right w:val="none" w:sz="0" w:space="0" w:color="auto"/>
      </w:divBdr>
    </w:div>
    <w:div w:id="1095708450">
      <w:bodyDiv w:val="1"/>
      <w:marLeft w:val="0"/>
      <w:marRight w:val="0"/>
      <w:marTop w:val="0"/>
      <w:marBottom w:val="0"/>
      <w:divBdr>
        <w:top w:val="none" w:sz="0" w:space="0" w:color="auto"/>
        <w:left w:val="none" w:sz="0" w:space="0" w:color="auto"/>
        <w:bottom w:val="none" w:sz="0" w:space="0" w:color="auto"/>
        <w:right w:val="none" w:sz="0" w:space="0" w:color="auto"/>
      </w:divBdr>
    </w:div>
    <w:div w:id="1115979108">
      <w:bodyDiv w:val="1"/>
      <w:marLeft w:val="0"/>
      <w:marRight w:val="0"/>
      <w:marTop w:val="0"/>
      <w:marBottom w:val="0"/>
      <w:divBdr>
        <w:top w:val="none" w:sz="0" w:space="0" w:color="auto"/>
        <w:left w:val="none" w:sz="0" w:space="0" w:color="auto"/>
        <w:bottom w:val="none" w:sz="0" w:space="0" w:color="auto"/>
        <w:right w:val="none" w:sz="0" w:space="0" w:color="auto"/>
      </w:divBdr>
    </w:div>
    <w:div w:id="1126386259">
      <w:bodyDiv w:val="1"/>
      <w:marLeft w:val="0"/>
      <w:marRight w:val="0"/>
      <w:marTop w:val="0"/>
      <w:marBottom w:val="0"/>
      <w:divBdr>
        <w:top w:val="none" w:sz="0" w:space="0" w:color="auto"/>
        <w:left w:val="none" w:sz="0" w:space="0" w:color="auto"/>
        <w:bottom w:val="none" w:sz="0" w:space="0" w:color="auto"/>
        <w:right w:val="none" w:sz="0" w:space="0" w:color="auto"/>
      </w:divBdr>
    </w:div>
    <w:div w:id="1198851424">
      <w:bodyDiv w:val="1"/>
      <w:marLeft w:val="0"/>
      <w:marRight w:val="0"/>
      <w:marTop w:val="0"/>
      <w:marBottom w:val="0"/>
      <w:divBdr>
        <w:top w:val="none" w:sz="0" w:space="0" w:color="auto"/>
        <w:left w:val="none" w:sz="0" w:space="0" w:color="auto"/>
        <w:bottom w:val="none" w:sz="0" w:space="0" w:color="auto"/>
        <w:right w:val="none" w:sz="0" w:space="0" w:color="auto"/>
      </w:divBdr>
    </w:div>
    <w:div w:id="1220558194">
      <w:bodyDiv w:val="1"/>
      <w:marLeft w:val="0"/>
      <w:marRight w:val="0"/>
      <w:marTop w:val="0"/>
      <w:marBottom w:val="0"/>
      <w:divBdr>
        <w:top w:val="none" w:sz="0" w:space="0" w:color="auto"/>
        <w:left w:val="none" w:sz="0" w:space="0" w:color="auto"/>
        <w:bottom w:val="none" w:sz="0" w:space="0" w:color="auto"/>
        <w:right w:val="none" w:sz="0" w:space="0" w:color="auto"/>
      </w:divBdr>
    </w:div>
    <w:div w:id="1254582369">
      <w:bodyDiv w:val="1"/>
      <w:marLeft w:val="0"/>
      <w:marRight w:val="0"/>
      <w:marTop w:val="0"/>
      <w:marBottom w:val="0"/>
      <w:divBdr>
        <w:top w:val="none" w:sz="0" w:space="0" w:color="auto"/>
        <w:left w:val="none" w:sz="0" w:space="0" w:color="auto"/>
        <w:bottom w:val="none" w:sz="0" w:space="0" w:color="auto"/>
        <w:right w:val="none" w:sz="0" w:space="0" w:color="auto"/>
      </w:divBdr>
    </w:div>
    <w:div w:id="1352998341">
      <w:bodyDiv w:val="1"/>
      <w:marLeft w:val="0"/>
      <w:marRight w:val="0"/>
      <w:marTop w:val="0"/>
      <w:marBottom w:val="0"/>
      <w:divBdr>
        <w:top w:val="none" w:sz="0" w:space="0" w:color="auto"/>
        <w:left w:val="none" w:sz="0" w:space="0" w:color="auto"/>
        <w:bottom w:val="none" w:sz="0" w:space="0" w:color="auto"/>
        <w:right w:val="none" w:sz="0" w:space="0" w:color="auto"/>
      </w:divBdr>
    </w:div>
    <w:div w:id="1454129630">
      <w:bodyDiv w:val="1"/>
      <w:marLeft w:val="0"/>
      <w:marRight w:val="0"/>
      <w:marTop w:val="0"/>
      <w:marBottom w:val="0"/>
      <w:divBdr>
        <w:top w:val="none" w:sz="0" w:space="0" w:color="auto"/>
        <w:left w:val="none" w:sz="0" w:space="0" w:color="auto"/>
        <w:bottom w:val="none" w:sz="0" w:space="0" w:color="auto"/>
        <w:right w:val="none" w:sz="0" w:space="0" w:color="auto"/>
      </w:divBdr>
    </w:div>
    <w:div w:id="1502545791">
      <w:bodyDiv w:val="1"/>
      <w:marLeft w:val="0"/>
      <w:marRight w:val="0"/>
      <w:marTop w:val="0"/>
      <w:marBottom w:val="0"/>
      <w:divBdr>
        <w:top w:val="none" w:sz="0" w:space="0" w:color="auto"/>
        <w:left w:val="none" w:sz="0" w:space="0" w:color="auto"/>
        <w:bottom w:val="none" w:sz="0" w:space="0" w:color="auto"/>
        <w:right w:val="none" w:sz="0" w:space="0" w:color="auto"/>
      </w:divBdr>
      <w:divsChild>
        <w:div w:id="2057927542">
          <w:marLeft w:val="0"/>
          <w:marRight w:val="0"/>
          <w:marTop w:val="0"/>
          <w:marBottom w:val="0"/>
          <w:divBdr>
            <w:top w:val="none" w:sz="0" w:space="0" w:color="auto"/>
            <w:left w:val="none" w:sz="0" w:space="0" w:color="auto"/>
            <w:bottom w:val="none" w:sz="0" w:space="0" w:color="auto"/>
            <w:right w:val="none" w:sz="0" w:space="0" w:color="auto"/>
          </w:divBdr>
          <w:divsChild>
            <w:div w:id="1658999840">
              <w:marLeft w:val="0"/>
              <w:marRight w:val="0"/>
              <w:marTop w:val="0"/>
              <w:marBottom w:val="0"/>
              <w:divBdr>
                <w:top w:val="none" w:sz="0" w:space="0" w:color="auto"/>
                <w:left w:val="none" w:sz="0" w:space="0" w:color="auto"/>
                <w:bottom w:val="none" w:sz="0" w:space="0" w:color="auto"/>
                <w:right w:val="none" w:sz="0" w:space="0" w:color="auto"/>
              </w:divBdr>
            </w:div>
          </w:divsChild>
        </w:div>
        <w:div w:id="713426990">
          <w:marLeft w:val="0"/>
          <w:marRight w:val="0"/>
          <w:marTop w:val="0"/>
          <w:marBottom w:val="300"/>
          <w:divBdr>
            <w:top w:val="none" w:sz="0" w:space="0" w:color="auto"/>
            <w:left w:val="none" w:sz="0" w:space="0" w:color="auto"/>
            <w:bottom w:val="none" w:sz="0" w:space="0" w:color="auto"/>
            <w:right w:val="none" w:sz="0" w:space="0" w:color="auto"/>
          </w:divBdr>
          <w:divsChild>
            <w:div w:id="436222554">
              <w:marLeft w:val="0"/>
              <w:marRight w:val="0"/>
              <w:marTop w:val="0"/>
              <w:marBottom w:val="0"/>
              <w:divBdr>
                <w:top w:val="none" w:sz="0" w:space="0" w:color="auto"/>
                <w:left w:val="none" w:sz="0" w:space="0" w:color="auto"/>
                <w:bottom w:val="none" w:sz="0" w:space="0" w:color="auto"/>
                <w:right w:val="none" w:sz="0" w:space="0" w:color="auto"/>
              </w:divBdr>
              <w:divsChild>
                <w:div w:id="256908611">
                  <w:marLeft w:val="-225"/>
                  <w:marRight w:val="-225"/>
                  <w:marTop w:val="0"/>
                  <w:marBottom w:val="0"/>
                  <w:divBdr>
                    <w:top w:val="none" w:sz="0" w:space="0" w:color="auto"/>
                    <w:left w:val="none" w:sz="0" w:space="0" w:color="auto"/>
                    <w:bottom w:val="none" w:sz="0" w:space="0" w:color="auto"/>
                    <w:right w:val="none" w:sz="0" w:space="0" w:color="auto"/>
                  </w:divBdr>
                  <w:divsChild>
                    <w:div w:id="1833713168">
                      <w:marLeft w:val="0"/>
                      <w:marRight w:val="0"/>
                      <w:marTop w:val="0"/>
                      <w:marBottom w:val="0"/>
                      <w:divBdr>
                        <w:top w:val="none" w:sz="0" w:space="0" w:color="auto"/>
                        <w:left w:val="none" w:sz="0" w:space="0" w:color="auto"/>
                        <w:bottom w:val="none" w:sz="0" w:space="0" w:color="auto"/>
                        <w:right w:val="none" w:sz="0" w:space="0" w:color="auto"/>
                      </w:divBdr>
                      <w:divsChild>
                        <w:div w:id="683359869">
                          <w:marLeft w:val="0"/>
                          <w:marRight w:val="0"/>
                          <w:marTop w:val="0"/>
                          <w:marBottom w:val="0"/>
                          <w:divBdr>
                            <w:top w:val="none" w:sz="0" w:space="0" w:color="auto"/>
                            <w:left w:val="none" w:sz="0" w:space="0" w:color="auto"/>
                            <w:bottom w:val="none" w:sz="0" w:space="0" w:color="auto"/>
                            <w:right w:val="none" w:sz="0" w:space="0" w:color="auto"/>
                          </w:divBdr>
                          <w:divsChild>
                            <w:div w:id="1569613395">
                              <w:marLeft w:val="0"/>
                              <w:marRight w:val="0"/>
                              <w:marTop w:val="0"/>
                              <w:marBottom w:val="0"/>
                              <w:divBdr>
                                <w:top w:val="none" w:sz="0" w:space="0" w:color="auto"/>
                                <w:left w:val="none" w:sz="0" w:space="0" w:color="auto"/>
                                <w:bottom w:val="none" w:sz="0" w:space="0" w:color="auto"/>
                                <w:right w:val="none" w:sz="0" w:space="0" w:color="auto"/>
                              </w:divBdr>
                              <w:divsChild>
                                <w:div w:id="1201628016">
                                  <w:marLeft w:val="0"/>
                                  <w:marRight w:val="0"/>
                                  <w:marTop w:val="0"/>
                                  <w:marBottom w:val="525"/>
                                  <w:divBdr>
                                    <w:top w:val="none" w:sz="0" w:space="0" w:color="auto"/>
                                    <w:left w:val="none" w:sz="0" w:space="0" w:color="auto"/>
                                    <w:bottom w:val="none" w:sz="0" w:space="0" w:color="auto"/>
                                    <w:right w:val="none" w:sz="0" w:space="0" w:color="auto"/>
                                  </w:divBdr>
                                  <w:divsChild>
                                    <w:div w:id="1610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50093">
      <w:bodyDiv w:val="1"/>
      <w:marLeft w:val="0"/>
      <w:marRight w:val="0"/>
      <w:marTop w:val="0"/>
      <w:marBottom w:val="0"/>
      <w:divBdr>
        <w:top w:val="none" w:sz="0" w:space="0" w:color="auto"/>
        <w:left w:val="none" w:sz="0" w:space="0" w:color="auto"/>
        <w:bottom w:val="none" w:sz="0" w:space="0" w:color="auto"/>
        <w:right w:val="none" w:sz="0" w:space="0" w:color="auto"/>
      </w:divBdr>
    </w:div>
    <w:div w:id="1687705883">
      <w:bodyDiv w:val="1"/>
      <w:marLeft w:val="0"/>
      <w:marRight w:val="0"/>
      <w:marTop w:val="0"/>
      <w:marBottom w:val="0"/>
      <w:divBdr>
        <w:top w:val="none" w:sz="0" w:space="0" w:color="auto"/>
        <w:left w:val="none" w:sz="0" w:space="0" w:color="auto"/>
        <w:bottom w:val="none" w:sz="0" w:space="0" w:color="auto"/>
        <w:right w:val="none" w:sz="0" w:space="0" w:color="auto"/>
      </w:divBdr>
    </w:div>
    <w:div w:id="1709260895">
      <w:bodyDiv w:val="1"/>
      <w:marLeft w:val="0"/>
      <w:marRight w:val="0"/>
      <w:marTop w:val="0"/>
      <w:marBottom w:val="0"/>
      <w:divBdr>
        <w:top w:val="none" w:sz="0" w:space="0" w:color="auto"/>
        <w:left w:val="none" w:sz="0" w:space="0" w:color="auto"/>
        <w:bottom w:val="none" w:sz="0" w:space="0" w:color="auto"/>
        <w:right w:val="none" w:sz="0" w:space="0" w:color="auto"/>
      </w:divBdr>
      <w:divsChild>
        <w:div w:id="2001344020">
          <w:marLeft w:val="0"/>
          <w:marRight w:val="0"/>
          <w:marTop w:val="0"/>
          <w:marBottom w:val="0"/>
          <w:divBdr>
            <w:top w:val="none" w:sz="0" w:space="0" w:color="auto"/>
            <w:left w:val="none" w:sz="0" w:space="0" w:color="auto"/>
            <w:bottom w:val="none" w:sz="0" w:space="0" w:color="auto"/>
            <w:right w:val="none" w:sz="0" w:space="0" w:color="auto"/>
          </w:divBdr>
          <w:divsChild>
            <w:div w:id="1408111140">
              <w:marLeft w:val="0"/>
              <w:marRight w:val="0"/>
              <w:marTop w:val="0"/>
              <w:marBottom w:val="0"/>
              <w:divBdr>
                <w:top w:val="none" w:sz="0" w:space="0" w:color="auto"/>
                <w:left w:val="none" w:sz="0" w:space="0" w:color="auto"/>
                <w:bottom w:val="none" w:sz="0" w:space="0" w:color="auto"/>
                <w:right w:val="none" w:sz="0" w:space="0" w:color="auto"/>
              </w:divBdr>
            </w:div>
          </w:divsChild>
        </w:div>
        <w:div w:id="1228762302">
          <w:marLeft w:val="0"/>
          <w:marRight w:val="0"/>
          <w:marTop w:val="0"/>
          <w:marBottom w:val="300"/>
          <w:divBdr>
            <w:top w:val="none" w:sz="0" w:space="0" w:color="auto"/>
            <w:left w:val="none" w:sz="0" w:space="0" w:color="auto"/>
            <w:bottom w:val="none" w:sz="0" w:space="0" w:color="auto"/>
            <w:right w:val="none" w:sz="0" w:space="0" w:color="auto"/>
          </w:divBdr>
          <w:divsChild>
            <w:div w:id="2030445339">
              <w:marLeft w:val="0"/>
              <w:marRight w:val="0"/>
              <w:marTop w:val="0"/>
              <w:marBottom w:val="0"/>
              <w:divBdr>
                <w:top w:val="none" w:sz="0" w:space="0" w:color="auto"/>
                <w:left w:val="none" w:sz="0" w:space="0" w:color="auto"/>
                <w:bottom w:val="none" w:sz="0" w:space="0" w:color="auto"/>
                <w:right w:val="none" w:sz="0" w:space="0" w:color="auto"/>
              </w:divBdr>
              <w:divsChild>
                <w:div w:id="1586187776">
                  <w:marLeft w:val="-225"/>
                  <w:marRight w:val="-225"/>
                  <w:marTop w:val="0"/>
                  <w:marBottom w:val="0"/>
                  <w:divBdr>
                    <w:top w:val="none" w:sz="0" w:space="0" w:color="auto"/>
                    <w:left w:val="none" w:sz="0" w:space="0" w:color="auto"/>
                    <w:bottom w:val="none" w:sz="0" w:space="0" w:color="auto"/>
                    <w:right w:val="none" w:sz="0" w:space="0" w:color="auto"/>
                  </w:divBdr>
                  <w:divsChild>
                    <w:div w:id="143546130">
                      <w:marLeft w:val="0"/>
                      <w:marRight w:val="0"/>
                      <w:marTop w:val="0"/>
                      <w:marBottom w:val="0"/>
                      <w:divBdr>
                        <w:top w:val="none" w:sz="0" w:space="0" w:color="auto"/>
                        <w:left w:val="none" w:sz="0" w:space="0" w:color="auto"/>
                        <w:bottom w:val="none" w:sz="0" w:space="0" w:color="auto"/>
                        <w:right w:val="none" w:sz="0" w:space="0" w:color="auto"/>
                      </w:divBdr>
                      <w:divsChild>
                        <w:div w:id="1061169488">
                          <w:marLeft w:val="0"/>
                          <w:marRight w:val="0"/>
                          <w:marTop w:val="0"/>
                          <w:marBottom w:val="0"/>
                          <w:divBdr>
                            <w:top w:val="none" w:sz="0" w:space="0" w:color="auto"/>
                            <w:left w:val="none" w:sz="0" w:space="0" w:color="auto"/>
                            <w:bottom w:val="none" w:sz="0" w:space="0" w:color="auto"/>
                            <w:right w:val="none" w:sz="0" w:space="0" w:color="auto"/>
                          </w:divBdr>
                          <w:divsChild>
                            <w:div w:id="1068380969">
                              <w:marLeft w:val="0"/>
                              <w:marRight w:val="0"/>
                              <w:marTop w:val="0"/>
                              <w:marBottom w:val="0"/>
                              <w:divBdr>
                                <w:top w:val="none" w:sz="0" w:space="0" w:color="auto"/>
                                <w:left w:val="none" w:sz="0" w:space="0" w:color="auto"/>
                                <w:bottom w:val="none" w:sz="0" w:space="0" w:color="auto"/>
                                <w:right w:val="none" w:sz="0" w:space="0" w:color="auto"/>
                              </w:divBdr>
                              <w:divsChild>
                                <w:div w:id="43797264">
                                  <w:marLeft w:val="0"/>
                                  <w:marRight w:val="0"/>
                                  <w:marTop w:val="0"/>
                                  <w:marBottom w:val="525"/>
                                  <w:divBdr>
                                    <w:top w:val="none" w:sz="0" w:space="0" w:color="auto"/>
                                    <w:left w:val="none" w:sz="0" w:space="0" w:color="auto"/>
                                    <w:bottom w:val="none" w:sz="0" w:space="0" w:color="auto"/>
                                    <w:right w:val="none" w:sz="0" w:space="0" w:color="auto"/>
                                  </w:divBdr>
                                  <w:divsChild>
                                    <w:div w:id="779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463432">
      <w:bodyDiv w:val="1"/>
      <w:marLeft w:val="0"/>
      <w:marRight w:val="0"/>
      <w:marTop w:val="0"/>
      <w:marBottom w:val="0"/>
      <w:divBdr>
        <w:top w:val="none" w:sz="0" w:space="0" w:color="auto"/>
        <w:left w:val="none" w:sz="0" w:space="0" w:color="auto"/>
        <w:bottom w:val="none" w:sz="0" w:space="0" w:color="auto"/>
        <w:right w:val="none" w:sz="0" w:space="0" w:color="auto"/>
      </w:divBdr>
    </w:div>
    <w:div w:id="17854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conbiologics.com/biocon-biologics-secures-canada-market-entry-date-for-yesafili-a-proposed-biosimilar-to-eylea/" TargetMode="External"/><Relationship Id="rId13" Type="http://schemas.openxmlformats.org/officeDocument/2006/relationships/hyperlink" Target="http://www.biocon.com" TargetMode="External"/><Relationship Id="rId18" Type="http://schemas.openxmlformats.org/officeDocument/2006/relationships/hyperlink" Target="mailto:saurabh.paliwal@biocon.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ioconbiologics.com/biocon-biologics-obtains-u-s-fda-approval-for-biosimilar-aflibercept-for-yesafili-enters-u-s-ophthalmology-market/" TargetMode="External"/><Relationship Id="rId12" Type="http://schemas.openxmlformats.org/officeDocument/2006/relationships/hyperlink" Target="https://www.linkedin.com/company/bioconbiologics/" TargetMode="External"/><Relationship Id="rId17" Type="http://schemas.openxmlformats.org/officeDocument/2006/relationships/hyperlink" Target="mailto:lance.longwell@biocon.com"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seema.ahuja@biocon.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BioconBiologics?t=RmwduqHNvTXcHFq8ElYKMw&amp;s=0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linkedin.com/company/biocon/" TargetMode="External"/><Relationship Id="rId23" Type="http://schemas.openxmlformats.org/officeDocument/2006/relationships/customXml" Target="../customXml/item1.xml"/><Relationship Id="rId10" Type="http://schemas.openxmlformats.org/officeDocument/2006/relationships/hyperlink" Target="https://www.bioconbiologic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da.gov/medwatch" TargetMode="External"/><Relationship Id="rId14" Type="http://schemas.openxmlformats.org/officeDocument/2006/relationships/hyperlink" Target="https://x.com/Bioconlimited?t=ASMOvAKEj4KbJtu-_n5K3w&amp;s=0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452415508F94382DF2316BCC0E2FF" ma:contentTypeVersion="13" ma:contentTypeDescription="Create a new document." ma:contentTypeScope="" ma:versionID="aaa41d7ad5ae140492b8538ce4e6fea7">
  <xsd:schema xmlns:xsd="http://www.w3.org/2001/XMLSchema" xmlns:xs="http://www.w3.org/2001/XMLSchema" xmlns:p="http://schemas.microsoft.com/office/2006/metadata/properties" xmlns:ns2="bd349600-a359-4c72-ad9f-8666ac96aa21" xmlns:ns3="3b2d6363-6aa5-4dc7-b310-3b526891ed29" targetNamespace="http://schemas.microsoft.com/office/2006/metadata/properties" ma:root="true" ma:fieldsID="fd6e6bfba5a4c26e81a3364d21ea8846" ns2:_="" ns3:_="">
    <xsd:import namespace="bd349600-a359-4c72-ad9f-8666ac96aa21"/>
    <xsd:import namespace="3b2d6363-6aa5-4dc7-b310-3b526891e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49600-a359-4c72-ad9f-8666ac96a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4cc4da-0e40-407f-b6c5-d3eec7ba93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d6363-6aa5-4dc7-b310-3b526891e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c6ee3c-e64b-46f8-9103-1768e1542f29}" ma:internalName="TaxCatchAll" ma:showField="CatchAllData" ma:web="3b2d6363-6aa5-4dc7-b310-3b526891e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2d6363-6aa5-4dc7-b310-3b526891ed29" xsi:nil="true"/>
    <lcf76f155ced4ddcb4097134ff3c332f xmlns="bd349600-a359-4c72-ad9f-8666ac96a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9CB247-69E7-4F91-B3AF-F66EE6DB5E36}"/>
</file>

<file path=customXml/itemProps2.xml><?xml version="1.0" encoding="utf-8"?>
<ds:datastoreItem xmlns:ds="http://schemas.openxmlformats.org/officeDocument/2006/customXml" ds:itemID="{9B6A5B20-086E-4B3D-82EA-2F61738F2949}"/>
</file>

<file path=customXml/itemProps3.xml><?xml version="1.0" encoding="utf-8"?>
<ds:datastoreItem xmlns:ds="http://schemas.openxmlformats.org/officeDocument/2006/customXml" ds:itemID="{A1E13D95-0C8D-44F4-B93E-8C43C5B044C5}"/>
</file>

<file path=docProps/app.xml><?xml version="1.0" encoding="utf-8"?>
<Properties xmlns="http://schemas.openxmlformats.org/officeDocument/2006/extended-properties" xmlns:vt="http://schemas.openxmlformats.org/officeDocument/2006/docPropsVTypes">
  <Template>Normal.dotm</Template>
  <TotalTime>5</TotalTime>
  <Pages>3</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Record Wasco/COMMERCIAL/BBUS</dc:creator>
  <cp:keywords/>
  <dc:description/>
  <cp:lastModifiedBy>Seema Shah Ahuja/GLOBAL COMMUNICATIONS/BBL</cp:lastModifiedBy>
  <cp:revision>3</cp:revision>
  <dcterms:created xsi:type="dcterms:W3CDTF">2025-04-14T19:39:00Z</dcterms:created>
  <dcterms:modified xsi:type="dcterms:W3CDTF">2025-04-14T19:41:00Z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0x010100D2D452415508F94382DF2316BCC0E2FF</vt:lpwstr>
  </property>
</Properties>
</file>