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7272" w14:textId="77777777" w:rsidR="004E3B95" w:rsidRPr="002B6076" w:rsidRDefault="004E3B95" w:rsidP="004E3B95">
      <w:pPr>
        <w:jc w:val="center"/>
        <w:rPr>
          <w:rFonts w:asciiTheme="minorHAnsi" w:hAnsiTheme="minorHAnsi" w:cstheme="minorHAnsi"/>
          <w:b/>
        </w:rPr>
      </w:pPr>
      <w:r w:rsidRPr="00ED4DC0">
        <w:rPr>
          <w:rFonts w:asciiTheme="minorHAnsi" w:hAnsiTheme="minorHAnsi" w:cstheme="minorHAnsi"/>
          <w:bCs/>
          <w:i/>
          <w:iCs/>
        </w:rPr>
        <w:t>PRESS RELEASE</w:t>
      </w:r>
      <w:r>
        <w:rPr>
          <w:rFonts w:asciiTheme="minorHAnsi" w:hAnsiTheme="minorHAnsi" w:cstheme="minorHAnsi"/>
          <w:b/>
        </w:rPr>
        <w:t xml:space="preserve"> </w:t>
      </w:r>
    </w:p>
    <w:p w14:paraId="2D18D2EF" w14:textId="77777777" w:rsidR="0001054C" w:rsidRDefault="0001054C" w:rsidP="0001054C">
      <w:pPr>
        <w:pStyle w:val="NoSpacing"/>
        <w:jc w:val="center"/>
        <w:rPr>
          <w:rFonts w:ascii="Calibri" w:hAnsi="Calibri" w:cstheme="minorHAnsi"/>
          <w:b/>
          <w:color w:val="2F5496" w:themeColor="accent1" w:themeShade="BF"/>
          <w:sz w:val="36"/>
          <w:szCs w:val="36"/>
        </w:rPr>
      </w:pPr>
      <w:r>
        <w:rPr>
          <w:rFonts w:ascii="Calibri" w:hAnsi="Calibri" w:cstheme="minorHAnsi"/>
          <w:b/>
          <w:color w:val="2F5496" w:themeColor="accent1" w:themeShade="BF"/>
          <w:sz w:val="36"/>
          <w:szCs w:val="36"/>
        </w:rPr>
        <w:t xml:space="preserve"> </w:t>
      </w:r>
    </w:p>
    <w:p w14:paraId="2C60E89A" w14:textId="17F5D3FA" w:rsidR="0001054C" w:rsidRPr="00234DDC" w:rsidRDefault="0001054C" w:rsidP="0001054C">
      <w:pPr>
        <w:shd w:val="clear" w:color="auto" w:fill="FFFFFF" w:themeFill="background1"/>
        <w:spacing w:after="525"/>
        <w:jc w:val="center"/>
        <w:outlineLvl w:val="0"/>
        <w:rPr>
          <w:rFonts w:asciiTheme="minorHAnsi" w:hAnsiTheme="minorHAnsi" w:cstheme="minorHAnsi"/>
          <w:b/>
          <w:bCs/>
          <w:color w:val="4472C4" w:themeColor="accent1"/>
          <w:kern w:val="36"/>
          <w:sz w:val="36"/>
          <w:szCs w:val="36"/>
        </w:rPr>
      </w:pPr>
      <w:r w:rsidRPr="00234DDC">
        <w:rPr>
          <w:rFonts w:asciiTheme="minorHAnsi" w:hAnsiTheme="minorHAnsi" w:cstheme="minorHAnsi"/>
          <w:b/>
          <w:bCs/>
          <w:color w:val="4472C4" w:themeColor="accent1"/>
          <w:kern w:val="36"/>
          <w:sz w:val="36"/>
          <w:szCs w:val="36"/>
        </w:rPr>
        <w:t xml:space="preserve">Biocon Biologics Announces </w:t>
      </w:r>
      <w:r w:rsidR="005076CB">
        <w:rPr>
          <w:rFonts w:asciiTheme="minorHAnsi" w:hAnsiTheme="minorHAnsi" w:cstheme="minorHAnsi"/>
          <w:b/>
          <w:bCs/>
          <w:color w:val="4472C4" w:themeColor="accent1"/>
          <w:kern w:val="36"/>
          <w:sz w:val="36"/>
          <w:szCs w:val="36"/>
        </w:rPr>
        <w:t xml:space="preserve">U.S. </w:t>
      </w:r>
      <w:r w:rsidRPr="00234DDC">
        <w:rPr>
          <w:rFonts w:asciiTheme="minorHAnsi" w:hAnsiTheme="minorHAnsi" w:cstheme="minorHAnsi"/>
          <w:b/>
          <w:bCs/>
          <w:color w:val="4472C4" w:themeColor="accent1"/>
          <w:kern w:val="36"/>
          <w:sz w:val="36"/>
          <w:szCs w:val="36"/>
        </w:rPr>
        <w:t>FDA Approval for J</w:t>
      </w:r>
      <w:r w:rsidR="00CF187E">
        <w:rPr>
          <w:rFonts w:asciiTheme="minorHAnsi" w:hAnsiTheme="minorHAnsi" w:cstheme="minorHAnsi"/>
          <w:b/>
          <w:bCs/>
          <w:color w:val="4472C4" w:themeColor="accent1"/>
          <w:kern w:val="36"/>
          <w:sz w:val="36"/>
          <w:szCs w:val="36"/>
        </w:rPr>
        <w:t>obevne</w:t>
      </w:r>
      <w:r w:rsidRPr="00234DDC">
        <w:rPr>
          <w:rFonts w:asciiTheme="minorHAnsi" w:hAnsiTheme="minorHAnsi" w:cstheme="minorHAnsi"/>
          <w:b/>
          <w:bCs/>
          <w:color w:val="4472C4" w:themeColor="accent1"/>
          <w:kern w:val="36"/>
          <w:sz w:val="36"/>
          <w:szCs w:val="36"/>
        </w:rPr>
        <w:t xml:space="preserve">™, Biosimilar Bevacizumab, Expanding Its Oncology Portfolio  </w:t>
      </w:r>
    </w:p>
    <w:p w14:paraId="1CC82441" w14:textId="542A6B4E" w:rsidR="0001054C" w:rsidRPr="00234DDC" w:rsidRDefault="0001054C" w:rsidP="0001054C">
      <w:pPr>
        <w:pStyle w:val="NoSpacing"/>
        <w:rPr>
          <w:rFonts w:cstheme="minorHAnsi"/>
          <w:sz w:val="24"/>
          <w:szCs w:val="24"/>
        </w:rPr>
      </w:pPr>
      <w:r w:rsidRPr="00234DDC">
        <w:rPr>
          <w:rStyle w:val="xn-location"/>
          <w:rFonts w:cstheme="minorHAnsi"/>
          <w:b/>
          <w:bCs/>
          <w:i/>
          <w:iCs/>
          <w:color w:val="000000" w:themeColor="text1"/>
          <w:sz w:val="24"/>
          <w:szCs w:val="24"/>
        </w:rPr>
        <w:t>BRIDGEWATER, New Jersey</w:t>
      </w:r>
      <w:r w:rsidRPr="00234DDC">
        <w:rPr>
          <w:rFonts w:cstheme="minorHAnsi"/>
          <w:sz w:val="24"/>
          <w:szCs w:val="24"/>
        </w:rPr>
        <w:t xml:space="preserve"> </w:t>
      </w:r>
      <w:r w:rsidRPr="00234DDC">
        <w:rPr>
          <w:rFonts w:cstheme="minorHAnsi"/>
          <w:i/>
          <w:iCs/>
          <w:sz w:val="24"/>
          <w:szCs w:val="24"/>
        </w:rPr>
        <w:t>and</w:t>
      </w:r>
      <w:r w:rsidRPr="00234DDC">
        <w:rPr>
          <w:rFonts w:cstheme="minorHAnsi"/>
          <w:sz w:val="24"/>
          <w:szCs w:val="24"/>
        </w:rPr>
        <w:t xml:space="preserve"> </w:t>
      </w:r>
      <w:r w:rsidRPr="00234DDC">
        <w:rPr>
          <w:rStyle w:val="Emphasis"/>
          <w:rFonts w:cstheme="minorHAnsi"/>
          <w:b/>
          <w:bCs/>
          <w:color w:val="000000" w:themeColor="text1"/>
          <w:sz w:val="24"/>
          <w:szCs w:val="24"/>
          <w:shd w:val="clear" w:color="auto" w:fill="FFFFFF"/>
        </w:rPr>
        <w:t>BENGALURU, Karnataka, India</w:t>
      </w:r>
      <w:r w:rsidRPr="00234DDC">
        <w:rPr>
          <w:rFonts w:cstheme="minorHAnsi"/>
          <w:sz w:val="24"/>
          <w:szCs w:val="24"/>
        </w:rPr>
        <w:t>, </w:t>
      </w:r>
      <w:r w:rsidR="00970DF9">
        <w:rPr>
          <w:rFonts w:cstheme="minorHAnsi"/>
          <w:sz w:val="24"/>
          <w:szCs w:val="24"/>
        </w:rPr>
        <w:t>April 10, 2025</w:t>
      </w:r>
    </w:p>
    <w:p w14:paraId="45238FF4" w14:textId="77777777" w:rsidR="0001054C" w:rsidRPr="007D3EB5" w:rsidRDefault="0001054C" w:rsidP="0001054C">
      <w:pPr>
        <w:widowControl w:val="0"/>
        <w:autoSpaceDE w:val="0"/>
        <w:autoSpaceDN w:val="0"/>
        <w:adjustRightInd w:val="0"/>
        <w:spacing w:after="140" w:line="276" w:lineRule="auto"/>
        <w:ind w:left="2"/>
        <w:jc w:val="both"/>
        <w:rPr>
          <w:rFonts w:asciiTheme="minorHAnsi" w:hAnsiTheme="minorHAnsi" w:cstheme="minorHAnsi"/>
          <w:b/>
          <w:bCs/>
        </w:rPr>
      </w:pPr>
    </w:p>
    <w:p w14:paraId="6EB56BB0" w14:textId="72BD2138" w:rsidR="009E5EFC" w:rsidRDefault="0001054C" w:rsidP="00AF7B79">
      <w:pPr>
        <w:widowControl w:val="0"/>
        <w:autoSpaceDE w:val="0"/>
        <w:autoSpaceDN w:val="0"/>
        <w:adjustRightInd w:val="0"/>
        <w:jc w:val="both"/>
        <w:rPr>
          <w:rFonts w:asciiTheme="minorHAnsi" w:hAnsiTheme="minorHAnsi" w:cstheme="minorHAnsi"/>
        </w:rPr>
      </w:pPr>
      <w:r w:rsidRPr="00A13135">
        <w:rPr>
          <w:rFonts w:asciiTheme="minorHAnsi" w:hAnsiTheme="minorHAnsi" w:cstheme="minorHAnsi"/>
          <w:b/>
          <w:bCs/>
        </w:rPr>
        <w:t>Biocon Biologics Ltd</w:t>
      </w:r>
      <w:r w:rsidRPr="00A13135">
        <w:rPr>
          <w:rFonts w:asciiTheme="minorHAnsi" w:hAnsiTheme="minorHAnsi" w:cstheme="minorHAnsi"/>
        </w:rPr>
        <w:t xml:space="preserve"> </w:t>
      </w:r>
      <w:r w:rsidRPr="00A13135">
        <w:rPr>
          <w:rFonts w:asciiTheme="minorHAnsi" w:hAnsiTheme="minorHAnsi" w:cstheme="minorHAnsi"/>
          <w:shd w:val="clear" w:color="auto" w:fill="FFFFFF"/>
        </w:rPr>
        <w:t xml:space="preserve">(BBL), </w:t>
      </w:r>
      <w:r w:rsidRPr="00A13135">
        <w:rPr>
          <w:rFonts w:asciiTheme="minorHAnsi" w:hAnsiTheme="minorHAnsi" w:cstheme="minorHAnsi"/>
        </w:rPr>
        <w:t>a subsidiary of Biocon Ltd (BSE code: 532523, NSE: BIOCON), today announced that the U.S. Food and Drug Administration (</w:t>
      </w:r>
      <w:r w:rsidR="00E57647" w:rsidRPr="00A13135">
        <w:rPr>
          <w:rFonts w:asciiTheme="minorHAnsi" w:hAnsiTheme="minorHAnsi" w:cstheme="minorHAnsi"/>
        </w:rPr>
        <w:t>U</w:t>
      </w:r>
      <w:r w:rsidR="006D4C0D">
        <w:rPr>
          <w:rFonts w:asciiTheme="minorHAnsi" w:hAnsiTheme="minorHAnsi" w:cstheme="minorHAnsi"/>
        </w:rPr>
        <w:t>.</w:t>
      </w:r>
      <w:r w:rsidR="00E57647" w:rsidRPr="00A13135">
        <w:rPr>
          <w:rFonts w:asciiTheme="minorHAnsi" w:hAnsiTheme="minorHAnsi" w:cstheme="minorHAnsi"/>
        </w:rPr>
        <w:t>S</w:t>
      </w:r>
      <w:r w:rsidR="006D4C0D">
        <w:rPr>
          <w:rFonts w:asciiTheme="minorHAnsi" w:hAnsiTheme="minorHAnsi" w:cstheme="minorHAnsi"/>
        </w:rPr>
        <w:t>.</w:t>
      </w:r>
      <w:r w:rsidR="00E57647" w:rsidRPr="00A13135">
        <w:rPr>
          <w:rFonts w:asciiTheme="minorHAnsi" w:hAnsiTheme="minorHAnsi" w:cstheme="minorHAnsi"/>
        </w:rPr>
        <w:t xml:space="preserve"> </w:t>
      </w:r>
      <w:r w:rsidRPr="00A13135">
        <w:rPr>
          <w:rFonts w:asciiTheme="minorHAnsi" w:hAnsiTheme="minorHAnsi" w:cstheme="minorHAnsi"/>
        </w:rPr>
        <w:t xml:space="preserve">FDA) has approved </w:t>
      </w:r>
      <w:r w:rsidR="00CF187E" w:rsidRPr="00A13135">
        <w:rPr>
          <w:rFonts w:asciiTheme="minorHAnsi" w:hAnsiTheme="minorHAnsi" w:cstheme="minorHAnsi"/>
        </w:rPr>
        <w:t>J</w:t>
      </w:r>
      <w:r w:rsidR="00CF187E">
        <w:rPr>
          <w:rFonts w:asciiTheme="minorHAnsi" w:hAnsiTheme="minorHAnsi" w:cstheme="minorHAnsi"/>
        </w:rPr>
        <w:t>obevne</w:t>
      </w:r>
      <w:r w:rsidRPr="00A13135">
        <w:rPr>
          <w:rFonts w:asciiTheme="minorHAnsi" w:hAnsiTheme="minorHAnsi" w:cstheme="minorHAnsi"/>
        </w:rPr>
        <w:t>™ (</w:t>
      </w:r>
      <w:r w:rsidR="00707EDF">
        <w:rPr>
          <w:rFonts w:asciiTheme="minorHAnsi" w:hAnsiTheme="minorHAnsi" w:cstheme="minorHAnsi"/>
        </w:rPr>
        <w:t>b</w:t>
      </w:r>
      <w:r w:rsidR="00707EDF" w:rsidRPr="00A13135">
        <w:rPr>
          <w:rFonts w:asciiTheme="minorHAnsi" w:hAnsiTheme="minorHAnsi" w:cstheme="minorHAnsi"/>
        </w:rPr>
        <w:t>evacizumab</w:t>
      </w:r>
      <w:r w:rsidR="009E5EFC" w:rsidRPr="009244DF">
        <w:rPr>
          <w:rFonts w:asciiTheme="minorHAnsi" w:hAnsiTheme="minorHAnsi" w:cstheme="minorHAnsi"/>
        </w:rPr>
        <w:t>-nwgd</w:t>
      </w:r>
      <w:r w:rsidRPr="00A13135">
        <w:rPr>
          <w:rFonts w:asciiTheme="minorHAnsi" w:hAnsiTheme="minorHAnsi" w:cstheme="minorHAnsi"/>
        </w:rPr>
        <w:t>), a</w:t>
      </w:r>
      <w:r w:rsidR="00AE7350">
        <w:rPr>
          <w:rFonts w:asciiTheme="minorHAnsi" w:hAnsiTheme="minorHAnsi" w:cstheme="minorHAnsi"/>
        </w:rPr>
        <w:t xml:space="preserve"> </w:t>
      </w:r>
      <w:r w:rsidRPr="00A13135">
        <w:rPr>
          <w:rFonts w:asciiTheme="minorHAnsi" w:hAnsiTheme="minorHAnsi" w:cstheme="minorHAnsi"/>
        </w:rPr>
        <w:t xml:space="preserve">biosimilar </w:t>
      </w:r>
      <w:r w:rsidR="00CF187E">
        <w:rPr>
          <w:rFonts w:asciiTheme="minorHAnsi" w:hAnsiTheme="minorHAnsi" w:cstheme="minorHAnsi"/>
        </w:rPr>
        <w:t>B</w:t>
      </w:r>
      <w:r w:rsidRPr="00A13135">
        <w:rPr>
          <w:rFonts w:asciiTheme="minorHAnsi" w:hAnsiTheme="minorHAnsi" w:cstheme="minorHAnsi"/>
        </w:rPr>
        <w:t xml:space="preserve">evacizumab </w:t>
      </w:r>
      <w:r w:rsidR="009E5EFC" w:rsidRPr="00A13135">
        <w:rPr>
          <w:rFonts w:asciiTheme="minorHAnsi" w:hAnsiTheme="minorHAnsi" w:cstheme="minorHAnsi"/>
        </w:rPr>
        <w:t>for intravenous use</w:t>
      </w:r>
      <w:r w:rsidRPr="00A13135">
        <w:rPr>
          <w:rFonts w:asciiTheme="minorHAnsi" w:hAnsiTheme="minorHAnsi" w:cstheme="minorHAnsi"/>
        </w:rPr>
        <w:t>. J</w:t>
      </w:r>
      <w:r w:rsidRPr="00A13135">
        <w:rPr>
          <w:rFonts w:asciiTheme="minorHAnsi" w:hAnsiTheme="minorHAnsi" w:cstheme="minorHAnsi"/>
          <w:color w:val="000000" w:themeColor="text1"/>
          <w:shd w:val="clear" w:color="auto" w:fill="FFFFFF"/>
        </w:rPr>
        <w:t xml:space="preserve">OBEVNE, </w:t>
      </w:r>
      <w:r w:rsidRPr="00A13135">
        <w:rPr>
          <w:rFonts w:asciiTheme="minorHAnsi" w:hAnsiTheme="minorHAnsi" w:cstheme="minorHAnsi"/>
        </w:rPr>
        <w:t xml:space="preserve">a </w:t>
      </w:r>
      <w:r w:rsidR="00707EDF" w:rsidRPr="00707EDF">
        <w:rPr>
          <w:rFonts w:asciiTheme="minorHAnsi" w:hAnsiTheme="minorHAnsi" w:cstheme="minorHAnsi"/>
        </w:rPr>
        <w:t>recombinant humanized</w:t>
      </w:r>
      <w:r w:rsidR="00707EDF">
        <w:rPr>
          <w:rFonts w:asciiTheme="minorHAnsi" w:hAnsiTheme="minorHAnsi" w:cstheme="minorHAnsi"/>
        </w:rPr>
        <w:t xml:space="preserve"> </w:t>
      </w:r>
      <w:r w:rsidRPr="00A13135">
        <w:rPr>
          <w:rFonts w:asciiTheme="minorHAnsi" w:hAnsiTheme="minorHAnsi" w:cstheme="minorHAnsi"/>
        </w:rPr>
        <w:t xml:space="preserve">monoclonal antibody used to treat several different types of cancer, </w:t>
      </w:r>
      <w:r w:rsidRPr="00A13135">
        <w:rPr>
          <w:rFonts w:asciiTheme="minorHAnsi" w:hAnsiTheme="minorHAnsi" w:cstheme="minorHAnsi"/>
          <w:color w:val="000000" w:themeColor="text1"/>
          <w:shd w:val="clear" w:color="auto" w:fill="FFFFFF"/>
        </w:rPr>
        <w:t xml:space="preserve">is a biosimilar </w:t>
      </w:r>
      <w:r w:rsidR="00824BD8">
        <w:rPr>
          <w:rFonts w:asciiTheme="minorHAnsi" w:hAnsiTheme="minorHAnsi" w:cstheme="minorHAnsi"/>
          <w:color w:val="000000" w:themeColor="text1"/>
          <w:shd w:val="clear" w:color="auto" w:fill="FFFFFF"/>
        </w:rPr>
        <w:t xml:space="preserve">to the </w:t>
      </w:r>
      <w:r w:rsidRPr="00A13135">
        <w:rPr>
          <w:rFonts w:asciiTheme="minorHAnsi" w:hAnsiTheme="minorHAnsi" w:cstheme="minorHAnsi"/>
          <w:color w:val="000000" w:themeColor="text1"/>
          <w:shd w:val="clear" w:color="auto" w:fill="FFFFFF"/>
        </w:rPr>
        <w:t>reference product Avastin® (bevacizumab)</w:t>
      </w:r>
      <w:r w:rsidR="009E5EFC" w:rsidRPr="00A13135">
        <w:rPr>
          <w:rFonts w:asciiTheme="minorHAnsi" w:hAnsiTheme="minorHAnsi" w:cstheme="minorHAnsi"/>
          <w:color w:val="000000" w:themeColor="text1"/>
          <w:shd w:val="clear" w:color="auto" w:fill="FFFFFF"/>
        </w:rPr>
        <w:t xml:space="preserve">. JOBEVNE is </w:t>
      </w:r>
      <w:r w:rsidRPr="00A13135">
        <w:rPr>
          <w:rFonts w:asciiTheme="minorHAnsi" w:hAnsiTheme="minorHAnsi" w:cstheme="minorHAnsi"/>
          <w:color w:val="000000" w:themeColor="text1"/>
          <w:shd w:val="clear" w:color="auto" w:fill="FFFFFF"/>
        </w:rPr>
        <w:t>a</w:t>
      </w:r>
      <w:r w:rsidR="009E5EFC" w:rsidRPr="00A13135">
        <w:rPr>
          <w:rFonts w:asciiTheme="minorHAnsi" w:hAnsiTheme="minorHAnsi" w:cstheme="minorHAnsi"/>
          <w:color w:val="000000" w:themeColor="text1"/>
          <w:shd w:val="clear" w:color="auto" w:fill="FFFFFF"/>
        </w:rPr>
        <w:t xml:space="preserve"> vascular endothelial growth factor (VEGF) inhibitor</w:t>
      </w:r>
      <w:r w:rsidR="009E5EFC" w:rsidRPr="00A13135" w:rsidDel="009E5EFC">
        <w:rPr>
          <w:rFonts w:asciiTheme="minorHAnsi" w:hAnsiTheme="minorHAnsi" w:cstheme="minorHAnsi"/>
          <w:color w:val="000000" w:themeColor="text1"/>
          <w:shd w:val="clear" w:color="auto" w:fill="FFFFFF"/>
        </w:rPr>
        <w:t xml:space="preserve"> </w:t>
      </w:r>
      <w:r w:rsidRPr="00A13135">
        <w:rPr>
          <w:rFonts w:asciiTheme="minorHAnsi" w:hAnsiTheme="minorHAnsi" w:cstheme="minorHAnsi"/>
          <w:color w:val="000000" w:themeColor="text1"/>
          <w:shd w:val="clear" w:color="auto" w:fill="FFFFFF"/>
        </w:rPr>
        <w:t xml:space="preserve">that </w:t>
      </w:r>
      <w:r w:rsidR="009E5EFC" w:rsidRPr="00A13135">
        <w:rPr>
          <w:rFonts w:asciiTheme="minorHAnsi" w:hAnsiTheme="minorHAnsi" w:cstheme="minorHAnsi"/>
          <w:color w:val="000000" w:themeColor="text1"/>
          <w:shd w:val="clear" w:color="auto" w:fill="FFFFFF"/>
        </w:rPr>
        <w:t xml:space="preserve">binds with </w:t>
      </w:r>
      <w:r w:rsidRPr="00A13135">
        <w:rPr>
          <w:rFonts w:asciiTheme="minorHAnsi" w:hAnsiTheme="minorHAnsi" w:cstheme="minorHAnsi"/>
          <w:color w:val="000000" w:themeColor="text1"/>
          <w:shd w:val="clear" w:color="auto" w:fill="FFFFFF"/>
        </w:rPr>
        <w:t>VEGF</w:t>
      </w:r>
      <w:r w:rsidR="009E5EFC" w:rsidRPr="009244DF">
        <w:rPr>
          <w:rFonts w:asciiTheme="minorHAnsi" w:hAnsiTheme="minorHAnsi" w:cstheme="minorHAnsi"/>
        </w:rPr>
        <w:t xml:space="preserve"> and block</w:t>
      </w:r>
      <w:r w:rsidR="00D53B87" w:rsidRPr="009244DF">
        <w:rPr>
          <w:rFonts w:asciiTheme="minorHAnsi" w:hAnsiTheme="minorHAnsi" w:cstheme="minorHAnsi"/>
        </w:rPr>
        <w:t>s</w:t>
      </w:r>
      <w:r w:rsidR="009E5EFC" w:rsidRPr="009244DF">
        <w:rPr>
          <w:rFonts w:asciiTheme="minorHAnsi" w:hAnsiTheme="minorHAnsi" w:cstheme="minorHAnsi"/>
        </w:rPr>
        <w:t xml:space="preserve"> the interaction with its receptors to prevent angiogenesis</w:t>
      </w:r>
      <w:r w:rsidR="00F27B73">
        <w:rPr>
          <w:rFonts w:asciiTheme="minorHAnsi" w:hAnsiTheme="minorHAnsi" w:cstheme="minorHAnsi"/>
        </w:rPr>
        <w:t xml:space="preserve"> – combating cancer by restricting blood supply to the tumor.</w:t>
      </w:r>
    </w:p>
    <w:p w14:paraId="26A89D22" w14:textId="77777777" w:rsidR="009C1AB8" w:rsidRPr="00A13135" w:rsidRDefault="009C1AB8" w:rsidP="00AF7B79">
      <w:pPr>
        <w:widowControl w:val="0"/>
        <w:autoSpaceDE w:val="0"/>
        <w:autoSpaceDN w:val="0"/>
        <w:adjustRightInd w:val="0"/>
        <w:jc w:val="both"/>
        <w:rPr>
          <w:rFonts w:asciiTheme="minorHAnsi" w:hAnsiTheme="minorHAnsi" w:cstheme="minorHAnsi"/>
        </w:rPr>
      </w:pPr>
    </w:p>
    <w:p w14:paraId="0D050115" w14:textId="4E24CA79" w:rsidR="0001054C" w:rsidRPr="00D0685F" w:rsidRDefault="0001054C" w:rsidP="00AF7B79">
      <w:pPr>
        <w:widowControl w:val="0"/>
        <w:autoSpaceDE w:val="0"/>
        <w:autoSpaceDN w:val="0"/>
        <w:adjustRightInd w:val="0"/>
        <w:jc w:val="both"/>
        <w:rPr>
          <w:rFonts w:asciiTheme="minorHAnsi" w:hAnsiTheme="minorHAnsi" w:cstheme="minorHAnsi"/>
        </w:rPr>
      </w:pPr>
      <w:r w:rsidRPr="00A13135">
        <w:rPr>
          <w:rFonts w:asciiTheme="minorHAnsi" w:hAnsiTheme="minorHAnsi" w:cstheme="minorHAnsi"/>
        </w:rPr>
        <w:t>The approval of JOBEVNE</w:t>
      </w:r>
      <w:r w:rsidRPr="00A13135">
        <w:rPr>
          <w:rFonts w:asciiTheme="minorHAnsi" w:hAnsiTheme="minorHAnsi" w:cstheme="minorHAnsi"/>
          <w:color w:val="000000" w:themeColor="text1"/>
          <w:shd w:val="clear" w:color="auto" w:fill="FFFFFF"/>
        </w:rPr>
        <w:t xml:space="preserve"> </w:t>
      </w:r>
      <w:r w:rsidRPr="00A13135">
        <w:rPr>
          <w:rFonts w:asciiTheme="minorHAnsi" w:hAnsiTheme="minorHAnsi" w:cstheme="minorHAnsi"/>
        </w:rPr>
        <w:t>expands Biocon Biologics’ biosimilar oncology portfolio</w:t>
      </w:r>
      <w:r w:rsidR="00E57647" w:rsidRPr="00A13135">
        <w:rPr>
          <w:rFonts w:asciiTheme="minorHAnsi" w:hAnsiTheme="minorHAnsi" w:cstheme="minorHAnsi"/>
        </w:rPr>
        <w:t xml:space="preserve"> in the United States</w:t>
      </w:r>
      <w:r w:rsidRPr="00A13135">
        <w:rPr>
          <w:rFonts w:asciiTheme="minorHAnsi" w:hAnsiTheme="minorHAnsi" w:cstheme="minorHAnsi"/>
        </w:rPr>
        <w:t xml:space="preserve">, </w:t>
      </w:r>
      <w:r w:rsidRPr="00D0685F">
        <w:rPr>
          <w:rFonts w:asciiTheme="minorHAnsi" w:hAnsiTheme="minorHAnsi" w:cstheme="minorHAnsi"/>
        </w:rPr>
        <w:t>which also includes</w:t>
      </w:r>
      <w:r w:rsidRPr="00D0685F">
        <w:rPr>
          <w:rFonts w:asciiTheme="minorHAnsi" w:hAnsiTheme="minorHAnsi" w:cstheme="minorHAnsi"/>
          <w:color w:val="000000" w:themeColor="text1"/>
        </w:rPr>
        <w:t xml:space="preserve"> OGIVRI (Trastuzumab</w:t>
      </w:r>
      <w:r w:rsidR="009E5EFC" w:rsidRPr="00D0685F">
        <w:rPr>
          <w:rFonts w:asciiTheme="minorHAnsi" w:hAnsiTheme="minorHAnsi" w:cstheme="minorHAnsi"/>
          <w:color w:val="000000" w:themeColor="text1"/>
        </w:rPr>
        <w:t>-dkst</w:t>
      </w:r>
      <w:r w:rsidRPr="00D0685F">
        <w:rPr>
          <w:rFonts w:asciiTheme="minorHAnsi" w:hAnsiTheme="minorHAnsi" w:cstheme="minorHAnsi"/>
          <w:color w:val="000000" w:themeColor="text1"/>
        </w:rPr>
        <w:t>) and FULPHILA (Pegfilgrastim</w:t>
      </w:r>
      <w:r w:rsidR="009E5EFC" w:rsidRPr="00D0685F">
        <w:rPr>
          <w:rFonts w:asciiTheme="minorHAnsi" w:hAnsiTheme="minorHAnsi" w:cstheme="minorHAnsi"/>
          <w:color w:val="373A3C"/>
          <w:shd w:val="clear" w:color="auto" w:fill="FFFFFF"/>
        </w:rPr>
        <w:t>-jmdb</w:t>
      </w:r>
      <w:r w:rsidRPr="00D0685F">
        <w:rPr>
          <w:rFonts w:asciiTheme="minorHAnsi" w:hAnsiTheme="minorHAnsi" w:cstheme="minorHAnsi"/>
          <w:color w:val="000000" w:themeColor="text1"/>
        </w:rPr>
        <w:t>)</w:t>
      </w:r>
      <w:r w:rsidRPr="00D0685F">
        <w:rPr>
          <w:rFonts w:asciiTheme="minorHAnsi" w:hAnsiTheme="minorHAnsi" w:cstheme="minorHAnsi"/>
        </w:rPr>
        <w:t xml:space="preserve">. </w:t>
      </w:r>
      <w:r w:rsidRPr="00D0685F">
        <w:rPr>
          <w:rFonts w:asciiTheme="minorHAnsi" w:hAnsiTheme="minorHAnsi" w:cstheme="minorHAnsi"/>
          <w:color w:val="000000" w:themeColor="text1"/>
          <w:shd w:val="clear" w:color="auto" w:fill="FFFFFF"/>
        </w:rPr>
        <w:t xml:space="preserve">The Company also markets </w:t>
      </w:r>
      <w:r w:rsidR="008C1105" w:rsidRPr="00D0685F">
        <w:rPr>
          <w:rFonts w:asciiTheme="minorHAnsi" w:hAnsiTheme="minorHAnsi" w:cstheme="minorHAnsi"/>
          <w:color w:val="000000" w:themeColor="text1"/>
          <w:shd w:val="clear" w:color="auto" w:fill="FFFFFF"/>
        </w:rPr>
        <w:t>B</w:t>
      </w:r>
      <w:r w:rsidRPr="00D0685F">
        <w:rPr>
          <w:rFonts w:asciiTheme="minorHAnsi" w:hAnsiTheme="minorHAnsi" w:cstheme="minorHAnsi"/>
          <w:color w:val="000000" w:themeColor="text1"/>
          <w:shd w:val="clear" w:color="auto" w:fill="FFFFFF"/>
        </w:rPr>
        <w:t xml:space="preserve">evacizumab in </w:t>
      </w:r>
      <w:r w:rsidRPr="00D0685F">
        <w:rPr>
          <w:rFonts w:asciiTheme="minorHAnsi" w:hAnsiTheme="minorHAnsi" w:cstheme="minorHAnsi"/>
        </w:rPr>
        <w:t xml:space="preserve">Europe (approved February 2021) and </w:t>
      </w:r>
      <w:r w:rsidR="00707EDF" w:rsidRPr="00D0685F">
        <w:rPr>
          <w:rFonts w:asciiTheme="minorHAnsi" w:hAnsiTheme="minorHAnsi" w:cstheme="minorHAnsi"/>
        </w:rPr>
        <w:t>Canada</w:t>
      </w:r>
      <w:r w:rsidRPr="00D0685F">
        <w:rPr>
          <w:rFonts w:asciiTheme="minorHAnsi" w:hAnsiTheme="minorHAnsi" w:cstheme="minorHAnsi"/>
        </w:rPr>
        <w:t xml:space="preserve"> (</w:t>
      </w:r>
      <w:r w:rsidR="00C032BF" w:rsidRPr="00D0685F">
        <w:rPr>
          <w:rFonts w:asciiTheme="minorHAnsi" w:hAnsiTheme="minorHAnsi" w:cstheme="minorHAnsi"/>
        </w:rPr>
        <w:t>approved November 2021</w:t>
      </w:r>
      <w:r w:rsidRPr="00D0685F">
        <w:rPr>
          <w:rFonts w:asciiTheme="minorHAnsi" w:hAnsiTheme="minorHAnsi" w:cstheme="minorHAnsi"/>
        </w:rPr>
        <w:t xml:space="preserve">) under the name ABEVMY. </w:t>
      </w:r>
      <w:r w:rsidR="009E5EFC" w:rsidRPr="00D0685F">
        <w:rPr>
          <w:rFonts w:asciiTheme="minorHAnsi" w:hAnsiTheme="minorHAnsi" w:cstheme="minorHAnsi"/>
        </w:rPr>
        <w:t xml:space="preserve"> </w:t>
      </w:r>
    </w:p>
    <w:p w14:paraId="53E1D112" w14:textId="77777777" w:rsidR="009C1AB8" w:rsidRPr="0098078D" w:rsidRDefault="009C1AB8" w:rsidP="00AF7B79">
      <w:pPr>
        <w:widowControl w:val="0"/>
        <w:autoSpaceDE w:val="0"/>
        <w:autoSpaceDN w:val="0"/>
        <w:adjustRightInd w:val="0"/>
        <w:jc w:val="both"/>
        <w:rPr>
          <w:rFonts w:asciiTheme="minorHAnsi" w:hAnsiTheme="minorHAnsi" w:cstheme="minorHAnsi"/>
        </w:rPr>
      </w:pPr>
    </w:p>
    <w:p w14:paraId="7B41EC24" w14:textId="798A4201" w:rsidR="00721AEC" w:rsidRPr="00721AEC" w:rsidRDefault="0001054C" w:rsidP="00AF7B79">
      <w:pPr>
        <w:pStyle w:val="NoSpacing"/>
        <w:jc w:val="both"/>
        <w:rPr>
          <w:rFonts w:cstheme="minorHAnsi"/>
          <w:i/>
          <w:iCs/>
          <w:sz w:val="24"/>
          <w:szCs w:val="24"/>
        </w:rPr>
      </w:pPr>
      <w:bookmarkStart w:id="0" w:name="_Hlk146869460"/>
      <w:r w:rsidRPr="0098078D">
        <w:rPr>
          <w:rStyle w:val="Strong"/>
          <w:rFonts w:cstheme="minorHAnsi"/>
          <w:i/>
          <w:iCs/>
          <w:sz w:val="24"/>
          <w:szCs w:val="24"/>
        </w:rPr>
        <w:t>Shreehas Tambe, CEO &amp; Managing Director, Biocon Biologics Ltd.</w:t>
      </w:r>
      <w:r w:rsidRPr="0098078D">
        <w:rPr>
          <w:rFonts w:cstheme="minorHAnsi"/>
          <w:i/>
          <w:iCs/>
          <w:sz w:val="24"/>
          <w:szCs w:val="24"/>
        </w:rPr>
        <w:t>, said:</w:t>
      </w:r>
      <w:r w:rsidRPr="0098078D">
        <w:rPr>
          <w:rFonts w:cstheme="minorHAnsi"/>
          <w:sz w:val="24"/>
          <w:szCs w:val="24"/>
        </w:rPr>
        <w:t xml:space="preserve"> </w:t>
      </w:r>
      <w:r w:rsidR="00721AEC" w:rsidRPr="00721AEC">
        <w:rPr>
          <w:rFonts w:cstheme="minorHAnsi"/>
          <w:i/>
          <w:iCs/>
          <w:color w:val="000000" w:themeColor="text1"/>
          <w:sz w:val="24"/>
          <w:szCs w:val="24"/>
          <w:lang w:val="en-US"/>
        </w:rPr>
        <w:t>“The U.S. FDA approval of JOBEVNE™ (bevacizumab-</w:t>
      </w:r>
      <w:proofErr w:type="spellStart"/>
      <w:r w:rsidR="00721AEC" w:rsidRPr="00721AEC">
        <w:rPr>
          <w:rFonts w:cstheme="minorHAnsi"/>
          <w:i/>
          <w:iCs/>
          <w:color w:val="000000" w:themeColor="text1"/>
          <w:sz w:val="24"/>
          <w:szCs w:val="24"/>
          <w:lang w:val="en-US"/>
        </w:rPr>
        <w:t>nwgd</w:t>
      </w:r>
      <w:proofErr w:type="spellEnd"/>
      <w:r w:rsidR="00721AEC" w:rsidRPr="00721AEC">
        <w:rPr>
          <w:rFonts w:cstheme="minorHAnsi"/>
          <w:i/>
          <w:iCs/>
          <w:color w:val="000000" w:themeColor="text1"/>
          <w:sz w:val="24"/>
          <w:szCs w:val="24"/>
          <w:lang w:val="en-US"/>
        </w:rPr>
        <w:t>) is a significant milestone—our seventh biosimilar approved in the U.S. and a strong addition to our robust oncology portfolio. It underscores the depth of our scientific expertise and commitment to expanding access to high-quality, affordable biologics. We look forward to working with all stakeholders to bring more treatment options to patients.”</w:t>
      </w:r>
    </w:p>
    <w:p w14:paraId="5F3EDB05" w14:textId="77777777" w:rsidR="00AF7B79" w:rsidRPr="0098078D" w:rsidRDefault="00AF7B79" w:rsidP="00AF7B79">
      <w:pPr>
        <w:pStyle w:val="NormalWeb"/>
        <w:spacing w:before="0" w:beforeAutospacing="0" w:after="0" w:afterAutospacing="0"/>
        <w:jc w:val="both"/>
        <w:rPr>
          <w:rFonts w:asciiTheme="minorHAnsi" w:hAnsiTheme="minorHAnsi" w:cstheme="minorHAnsi"/>
        </w:rPr>
      </w:pPr>
      <w:bookmarkStart w:id="1" w:name="_Hlk146867834"/>
      <w:bookmarkEnd w:id="0"/>
    </w:p>
    <w:p w14:paraId="45B07FED" w14:textId="1D5FD1CE" w:rsidR="0001054C" w:rsidRPr="00A13135" w:rsidRDefault="0001054C" w:rsidP="00AF7B79">
      <w:pPr>
        <w:pStyle w:val="NormalWeb"/>
        <w:spacing w:before="0" w:beforeAutospacing="0" w:after="0" w:afterAutospacing="0"/>
        <w:jc w:val="both"/>
        <w:rPr>
          <w:rFonts w:asciiTheme="minorHAnsi" w:hAnsiTheme="minorHAnsi" w:cstheme="minorHAnsi"/>
        </w:rPr>
      </w:pPr>
      <w:r w:rsidRPr="00A13135">
        <w:rPr>
          <w:rFonts w:asciiTheme="minorHAnsi" w:hAnsiTheme="minorHAnsi" w:cstheme="minorHAnsi"/>
        </w:rPr>
        <w:t>In the U.S., sales of bevacizumab were approximately $2.0 billion in 2023.</w:t>
      </w:r>
      <w:r w:rsidR="00D0685F">
        <w:rPr>
          <w:rFonts w:asciiTheme="minorHAnsi" w:hAnsiTheme="minorHAnsi" w:cstheme="minorHAnsi"/>
        </w:rPr>
        <w:t>**</w:t>
      </w:r>
    </w:p>
    <w:p w14:paraId="1F2887AF" w14:textId="466564E5" w:rsidR="0001054C" w:rsidRPr="00A13135" w:rsidRDefault="0001054C" w:rsidP="00D0685F">
      <w:pPr>
        <w:pStyle w:val="NormalWeb"/>
        <w:jc w:val="both"/>
        <w:rPr>
          <w:rFonts w:asciiTheme="minorHAnsi" w:hAnsiTheme="minorHAnsi" w:cstheme="minorHAnsi"/>
          <w:color w:val="000000" w:themeColor="text1"/>
        </w:rPr>
      </w:pPr>
      <w:r w:rsidRPr="00A13135">
        <w:rPr>
          <w:rStyle w:val="BodytextAgencyChar"/>
          <w:rFonts w:asciiTheme="minorHAnsi" w:hAnsiTheme="minorHAnsi" w:cstheme="minorHAnsi"/>
          <w:color w:val="000000" w:themeColor="text1"/>
          <w:sz w:val="24"/>
          <w:szCs w:val="24"/>
        </w:rPr>
        <w:t>Biocon Biologics is a leading global player in biosimilars and insulin production and</w:t>
      </w:r>
      <w:r w:rsidRPr="00A13135">
        <w:rPr>
          <w:rFonts w:asciiTheme="minorHAnsi" w:hAnsiTheme="minorHAnsi" w:cstheme="minorHAnsi"/>
          <w:color w:val="000000" w:themeColor="text1"/>
        </w:rPr>
        <w:t xml:space="preserve"> has achieved many “firsts” in the industry including the first to receive approval of a trastuzumab in the United States, OGIVRI (</w:t>
      </w:r>
      <w:r w:rsidR="009E5EFC" w:rsidRPr="00A13135">
        <w:rPr>
          <w:rFonts w:asciiTheme="minorHAnsi" w:hAnsiTheme="minorHAnsi" w:cstheme="minorHAnsi"/>
          <w:color w:val="000000" w:themeColor="text1"/>
        </w:rPr>
        <w:t>Trastuzumab-dkst</w:t>
      </w:r>
      <w:r w:rsidRPr="00A13135">
        <w:rPr>
          <w:rFonts w:asciiTheme="minorHAnsi" w:hAnsiTheme="minorHAnsi" w:cstheme="minorHAnsi"/>
          <w:color w:val="000000" w:themeColor="text1"/>
        </w:rPr>
        <w:t xml:space="preserve">), as well as FULPHILA </w:t>
      </w:r>
      <w:r w:rsidR="009E5EFC" w:rsidRPr="00A13135">
        <w:rPr>
          <w:rFonts w:asciiTheme="minorHAnsi" w:hAnsiTheme="minorHAnsi" w:cstheme="minorHAnsi"/>
          <w:color w:val="000000" w:themeColor="text1"/>
        </w:rPr>
        <w:t>(Pegfilgrastim</w:t>
      </w:r>
      <w:r w:rsidR="009E5EFC" w:rsidRPr="009244DF">
        <w:rPr>
          <w:rFonts w:asciiTheme="minorHAnsi" w:hAnsiTheme="minorHAnsi" w:cstheme="minorHAnsi"/>
          <w:color w:val="373A3C"/>
          <w:shd w:val="clear" w:color="auto" w:fill="FFFFFF"/>
        </w:rPr>
        <w:t>-jmdb</w:t>
      </w:r>
      <w:r w:rsidR="009E5EFC" w:rsidRPr="00A13135">
        <w:rPr>
          <w:rFonts w:asciiTheme="minorHAnsi" w:hAnsiTheme="minorHAnsi" w:cstheme="minorHAnsi"/>
          <w:color w:val="000000" w:themeColor="text1"/>
        </w:rPr>
        <w:t>)</w:t>
      </w:r>
      <w:r w:rsidRPr="00A13135">
        <w:rPr>
          <w:rFonts w:asciiTheme="minorHAnsi" w:hAnsiTheme="minorHAnsi" w:cstheme="minorHAnsi"/>
          <w:color w:val="000000" w:themeColor="text1"/>
        </w:rPr>
        <w:t xml:space="preserve"> and</w:t>
      </w:r>
      <w:r w:rsidR="00D0685F">
        <w:rPr>
          <w:rFonts w:asciiTheme="minorHAnsi" w:hAnsiTheme="minorHAnsi" w:cstheme="minorHAnsi"/>
          <w:color w:val="000000" w:themeColor="text1"/>
        </w:rPr>
        <w:t xml:space="preserve"> </w:t>
      </w:r>
      <w:r w:rsidR="00D0685F" w:rsidRPr="00D0685F">
        <w:rPr>
          <w:rFonts w:asciiTheme="minorHAnsi" w:hAnsiTheme="minorHAnsi" w:cstheme="minorHAnsi"/>
          <w:color w:val="000000" w:themeColor="text1"/>
        </w:rPr>
        <w:t>the first U.S. approval of an interchangeable biosimilar for S</w:t>
      </w:r>
      <w:r w:rsidR="00850795">
        <w:rPr>
          <w:rFonts w:asciiTheme="minorHAnsi" w:hAnsiTheme="minorHAnsi" w:cstheme="minorHAnsi"/>
          <w:color w:val="000000" w:themeColor="text1"/>
        </w:rPr>
        <w:t>EMGLEE</w:t>
      </w:r>
      <w:r w:rsidR="00D0685F" w:rsidRPr="00D0685F">
        <w:rPr>
          <w:rFonts w:asciiTheme="minorHAnsi" w:hAnsiTheme="minorHAnsi" w:cstheme="minorHAnsi"/>
          <w:color w:val="000000" w:themeColor="text1"/>
        </w:rPr>
        <w:t xml:space="preserve"> (insulin glargine).</w:t>
      </w:r>
      <w:r w:rsidR="00D0685F">
        <w:rPr>
          <w:rFonts w:asciiTheme="minorHAnsi" w:hAnsiTheme="minorHAnsi" w:cstheme="minorHAnsi"/>
          <w:color w:val="000000" w:themeColor="text1"/>
        </w:rPr>
        <w:t xml:space="preserve"> </w:t>
      </w:r>
      <w:r w:rsidRPr="00A13135">
        <w:rPr>
          <w:rFonts w:asciiTheme="minorHAnsi" w:eastAsiaTheme="minorEastAsia" w:hAnsiTheme="minorHAnsi" w:cstheme="minorHAnsi"/>
          <w:color w:val="000000" w:themeColor="text1"/>
        </w:rPr>
        <w:t>Serving over 5</w:t>
      </w:r>
      <w:r w:rsidR="00FA1944">
        <w:rPr>
          <w:rFonts w:asciiTheme="minorHAnsi" w:eastAsiaTheme="minorEastAsia" w:hAnsiTheme="minorHAnsi" w:cstheme="minorHAnsi"/>
          <w:color w:val="000000" w:themeColor="text1"/>
        </w:rPr>
        <w:t xml:space="preserve"> </w:t>
      </w:r>
      <w:r w:rsidR="00767B9B">
        <w:rPr>
          <w:rFonts w:asciiTheme="minorHAnsi" w:eastAsiaTheme="minorEastAsia" w:hAnsiTheme="minorHAnsi" w:cstheme="minorHAnsi"/>
          <w:color w:val="000000" w:themeColor="text1"/>
        </w:rPr>
        <w:t xml:space="preserve">million </w:t>
      </w:r>
      <w:r w:rsidRPr="00A13135">
        <w:rPr>
          <w:rFonts w:asciiTheme="minorHAnsi" w:eastAsiaTheme="minorEastAsia" w:hAnsiTheme="minorHAnsi" w:cstheme="minorHAnsi"/>
          <w:color w:val="000000" w:themeColor="text1"/>
        </w:rPr>
        <w:t>patients annually, Biocon Biologics has a comprehensive por</w:t>
      </w:r>
      <w:r w:rsidRPr="00A13135">
        <w:rPr>
          <w:rFonts w:asciiTheme="minorHAnsi" w:hAnsiTheme="minorHAnsi" w:cstheme="minorHAnsi"/>
          <w:color w:val="000000" w:themeColor="text1"/>
        </w:rPr>
        <w:t xml:space="preserve">tfolio of in-market and in-development biosimilar products across multiple therapies, including </w:t>
      </w:r>
      <w:r w:rsidR="00767B9B">
        <w:rPr>
          <w:rFonts w:asciiTheme="minorHAnsi" w:hAnsiTheme="minorHAnsi" w:cstheme="minorHAnsi"/>
          <w:color w:val="000000" w:themeColor="text1"/>
        </w:rPr>
        <w:t>s</w:t>
      </w:r>
      <w:r w:rsidR="006704BC">
        <w:rPr>
          <w:rFonts w:asciiTheme="minorHAnsi" w:hAnsiTheme="minorHAnsi" w:cstheme="minorHAnsi"/>
          <w:color w:val="000000" w:themeColor="text1"/>
        </w:rPr>
        <w:t>even</w:t>
      </w:r>
      <w:r w:rsidRPr="00A13135">
        <w:rPr>
          <w:rFonts w:asciiTheme="minorHAnsi" w:hAnsiTheme="minorHAnsi" w:cstheme="minorHAnsi"/>
          <w:color w:val="000000" w:themeColor="text1"/>
        </w:rPr>
        <w:t xml:space="preserve"> </w:t>
      </w:r>
      <w:r w:rsidR="00D0685F">
        <w:rPr>
          <w:rFonts w:asciiTheme="minorHAnsi" w:hAnsiTheme="minorHAnsi" w:cstheme="minorHAnsi"/>
          <w:color w:val="000000" w:themeColor="text1"/>
        </w:rPr>
        <w:t xml:space="preserve">approved biosimilars </w:t>
      </w:r>
      <w:r w:rsidRPr="00A13135">
        <w:rPr>
          <w:rFonts w:asciiTheme="minorHAnsi" w:hAnsiTheme="minorHAnsi" w:cstheme="minorHAnsi"/>
          <w:color w:val="000000" w:themeColor="text1"/>
        </w:rPr>
        <w:t xml:space="preserve">in the United States and </w:t>
      </w:r>
      <w:r w:rsidR="006704BC">
        <w:rPr>
          <w:rFonts w:asciiTheme="minorHAnsi" w:hAnsiTheme="minorHAnsi" w:cstheme="minorHAnsi"/>
          <w:color w:val="000000" w:themeColor="text1"/>
        </w:rPr>
        <w:t xml:space="preserve">six </w:t>
      </w:r>
      <w:r w:rsidRPr="00A13135">
        <w:rPr>
          <w:rFonts w:asciiTheme="minorHAnsi" w:hAnsiTheme="minorHAnsi" w:cstheme="minorHAnsi"/>
          <w:color w:val="000000" w:themeColor="text1"/>
        </w:rPr>
        <w:t xml:space="preserve">in Canada, with a robust </w:t>
      </w:r>
      <w:r w:rsidR="00AE7350">
        <w:rPr>
          <w:rFonts w:asciiTheme="minorHAnsi" w:hAnsiTheme="minorHAnsi" w:cstheme="minorHAnsi"/>
          <w:color w:val="000000" w:themeColor="text1"/>
        </w:rPr>
        <w:t xml:space="preserve">development </w:t>
      </w:r>
      <w:r w:rsidRPr="00A13135">
        <w:rPr>
          <w:rFonts w:asciiTheme="minorHAnsi" w:hAnsiTheme="minorHAnsi" w:cstheme="minorHAnsi"/>
          <w:color w:val="000000" w:themeColor="text1"/>
        </w:rPr>
        <w:t>pipeline of 20 biosimilar assets, including insulins and monoclonal antibodies spanning multiple therapy areas.</w:t>
      </w:r>
      <w:bookmarkEnd w:id="1"/>
      <w:r w:rsidR="00225BC3" w:rsidRPr="00A13135">
        <w:rPr>
          <w:rFonts w:asciiTheme="minorHAnsi" w:hAnsiTheme="minorHAnsi" w:cstheme="minorHAnsi"/>
          <w:color w:val="000000" w:themeColor="text1"/>
        </w:rPr>
        <w:t xml:space="preserve"> </w:t>
      </w:r>
    </w:p>
    <w:p w14:paraId="6FCD6812" w14:textId="77777777" w:rsidR="0001054C" w:rsidRPr="007D3EB5" w:rsidRDefault="0001054C" w:rsidP="00AF7B79">
      <w:pPr>
        <w:shd w:val="clear" w:color="auto" w:fill="FFFFFF" w:themeFill="background1"/>
        <w:jc w:val="both"/>
        <w:rPr>
          <w:rStyle w:val="Hyperlink"/>
          <w:rFonts w:asciiTheme="minorHAnsi" w:hAnsiTheme="minorHAnsi" w:cstheme="minorHAnsi"/>
          <w:sz w:val="18"/>
          <w:szCs w:val="18"/>
        </w:rPr>
      </w:pPr>
    </w:p>
    <w:p w14:paraId="361E6CCE" w14:textId="0AA097E7" w:rsidR="0001054C" w:rsidRPr="00A13135" w:rsidRDefault="0001054C" w:rsidP="0001054C">
      <w:pPr>
        <w:shd w:val="clear" w:color="auto" w:fill="FFFFFF" w:themeFill="background1"/>
        <w:jc w:val="both"/>
        <w:rPr>
          <w:rFonts w:asciiTheme="minorHAnsi" w:hAnsiTheme="minorHAnsi" w:cstheme="minorHAnsi"/>
          <w:b/>
          <w:bCs/>
          <w:u w:val="single"/>
        </w:rPr>
      </w:pPr>
      <w:r w:rsidRPr="00A13135">
        <w:rPr>
          <w:rFonts w:asciiTheme="minorHAnsi" w:hAnsiTheme="minorHAnsi" w:cstheme="minorHAnsi"/>
          <w:b/>
          <w:bCs/>
          <w:u w:val="single"/>
        </w:rPr>
        <w:t>About JOBEVNE:</w:t>
      </w:r>
    </w:p>
    <w:p w14:paraId="0FF1CC9C" w14:textId="13ACFBCE" w:rsidR="009E5EFC" w:rsidRPr="00A13135" w:rsidRDefault="009E5EFC" w:rsidP="004E3B95">
      <w:pPr>
        <w:pStyle w:val="NormalWeb"/>
        <w:jc w:val="both"/>
        <w:rPr>
          <w:rFonts w:asciiTheme="minorHAnsi" w:hAnsiTheme="minorHAnsi" w:cstheme="minorHAnsi"/>
        </w:rPr>
      </w:pPr>
      <w:r w:rsidRPr="00A13135">
        <w:rPr>
          <w:rFonts w:asciiTheme="minorHAnsi" w:hAnsiTheme="minorHAnsi" w:cstheme="minorHAnsi"/>
        </w:rPr>
        <w:t>The approval for JOBEVNE (</w:t>
      </w:r>
      <w:r w:rsidR="00AD6F4A">
        <w:rPr>
          <w:rFonts w:asciiTheme="minorHAnsi" w:hAnsiTheme="minorHAnsi" w:cstheme="minorHAnsi"/>
        </w:rPr>
        <w:t>b</w:t>
      </w:r>
      <w:r w:rsidR="00AD6F4A" w:rsidRPr="00A13135">
        <w:rPr>
          <w:rFonts w:asciiTheme="minorHAnsi" w:hAnsiTheme="minorHAnsi" w:cstheme="minorHAnsi"/>
        </w:rPr>
        <w:t>evacizumab</w:t>
      </w:r>
      <w:r w:rsidRPr="00A13135">
        <w:rPr>
          <w:rFonts w:asciiTheme="minorHAnsi" w:hAnsiTheme="minorHAnsi" w:cstheme="minorHAnsi"/>
        </w:rPr>
        <w:t xml:space="preserve">-nwgd) was based on a comprehensive package of comparative pharmacokinetic, safety, efficacy, nonclinical, structural, analytical and functional data, which confirmed that JOBEVNE is highly </w:t>
      </w:r>
      <w:proofErr w:type="gramStart"/>
      <w:r w:rsidRPr="00A13135">
        <w:rPr>
          <w:rFonts w:asciiTheme="minorHAnsi" w:hAnsiTheme="minorHAnsi" w:cstheme="minorHAnsi"/>
        </w:rPr>
        <w:t>similar to</w:t>
      </w:r>
      <w:proofErr w:type="gramEnd"/>
      <w:r w:rsidRPr="00A13135">
        <w:rPr>
          <w:rFonts w:asciiTheme="minorHAnsi" w:hAnsiTheme="minorHAnsi" w:cstheme="minorHAnsi"/>
        </w:rPr>
        <w:t xml:space="preserve"> </w:t>
      </w:r>
      <w:r w:rsidR="00256DE4" w:rsidRPr="00A13135">
        <w:rPr>
          <w:rFonts w:asciiTheme="minorHAnsi" w:hAnsiTheme="minorHAnsi" w:cstheme="minorHAnsi"/>
          <w:color w:val="000000" w:themeColor="text1"/>
          <w:shd w:val="clear" w:color="auto" w:fill="FFFFFF"/>
        </w:rPr>
        <w:t>Avastin®</w:t>
      </w:r>
      <w:r w:rsidRPr="00A13135">
        <w:rPr>
          <w:rFonts w:asciiTheme="minorHAnsi" w:hAnsiTheme="minorHAnsi" w:cstheme="minorHAnsi"/>
        </w:rPr>
        <w:t xml:space="preserve"> (bevacizumab).  </w:t>
      </w:r>
    </w:p>
    <w:p w14:paraId="4A432475" w14:textId="15DCE55D" w:rsidR="009E5EFC" w:rsidRPr="00A13135" w:rsidRDefault="009E5EFC" w:rsidP="009E5EFC">
      <w:pPr>
        <w:pStyle w:val="NormalWeb"/>
        <w:rPr>
          <w:rFonts w:asciiTheme="minorHAnsi" w:hAnsiTheme="minorHAnsi" w:cstheme="minorHAnsi"/>
        </w:rPr>
      </w:pPr>
      <w:r w:rsidRPr="00A13135">
        <w:rPr>
          <w:rFonts w:asciiTheme="minorHAnsi" w:hAnsiTheme="minorHAnsi" w:cstheme="minorHAnsi"/>
        </w:rPr>
        <w:lastRenderedPageBreak/>
        <w:t xml:space="preserve">The data demonstrated that there were no clinically meaningful differences between JOBEVNE and </w:t>
      </w:r>
      <w:r w:rsidR="00256DE4" w:rsidRPr="00A13135">
        <w:rPr>
          <w:rFonts w:asciiTheme="minorHAnsi" w:hAnsiTheme="minorHAnsi" w:cstheme="minorHAnsi"/>
          <w:color w:val="000000" w:themeColor="text1"/>
          <w:shd w:val="clear" w:color="auto" w:fill="FFFFFF"/>
        </w:rPr>
        <w:t>Avastin®</w:t>
      </w:r>
      <w:r w:rsidR="001617AE">
        <w:rPr>
          <w:rFonts w:asciiTheme="minorHAnsi" w:hAnsiTheme="minorHAnsi" w:cstheme="minorHAnsi"/>
          <w:color w:val="000000" w:themeColor="text1"/>
          <w:shd w:val="clear" w:color="auto" w:fill="FFFFFF"/>
        </w:rPr>
        <w:t xml:space="preserve"> </w:t>
      </w:r>
      <w:r w:rsidRPr="00A13135">
        <w:rPr>
          <w:rFonts w:asciiTheme="minorHAnsi" w:hAnsiTheme="minorHAnsi" w:cstheme="minorHAnsi"/>
        </w:rPr>
        <w:t xml:space="preserve">in terms of pharmacokinetics, safety, efficacy, and immunogenicity.   </w:t>
      </w:r>
    </w:p>
    <w:p w14:paraId="0CDA87A8" w14:textId="77777777" w:rsidR="009E5EFC" w:rsidRPr="00A13135" w:rsidRDefault="009E5EFC" w:rsidP="009E5EFC">
      <w:pPr>
        <w:pStyle w:val="NormalWeb"/>
        <w:rPr>
          <w:rFonts w:asciiTheme="minorHAnsi" w:hAnsiTheme="minorHAnsi" w:cstheme="minorHAnsi"/>
          <w:b/>
          <w:bCs/>
        </w:rPr>
      </w:pPr>
      <w:r w:rsidRPr="00A13135">
        <w:rPr>
          <w:rFonts w:asciiTheme="minorHAnsi" w:hAnsiTheme="minorHAnsi" w:cstheme="minorHAnsi"/>
          <w:b/>
          <w:bCs/>
        </w:rPr>
        <w:t xml:space="preserve">INDICATIONS AND USAGE: </w:t>
      </w:r>
    </w:p>
    <w:p w14:paraId="3692E1C4" w14:textId="77777777" w:rsidR="009E5EFC" w:rsidRPr="00A13135" w:rsidRDefault="009E5EFC" w:rsidP="009E5EFC">
      <w:pPr>
        <w:pStyle w:val="NormalWeb"/>
        <w:rPr>
          <w:rFonts w:asciiTheme="minorHAnsi" w:hAnsiTheme="minorHAnsi" w:cstheme="minorHAnsi"/>
        </w:rPr>
      </w:pPr>
      <w:r w:rsidRPr="00A13135">
        <w:rPr>
          <w:rFonts w:asciiTheme="minorHAnsi" w:hAnsiTheme="minorHAnsi" w:cstheme="minorHAnsi"/>
        </w:rPr>
        <w:t xml:space="preserve">JOBEVNE is a vascular endothelial growth factor inhibitor indicated for the treatment of: </w:t>
      </w:r>
    </w:p>
    <w:p w14:paraId="3BEBFCB6" w14:textId="07855370"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Metastatic colorectal cancer, in combination with intravenous fluorouracil-based chemotherapy for first-or second-line treatment.</w:t>
      </w:r>
      <w:r w:rsidR="00AD6F4A">
        <w:rPr>
          <w:rFonts w:asciiTheme="minorHAnsi" w:hAnsiTheme="minorHAnsi" w:cstheme="minorHAnsi"/>
        </w:rPr>
        <w:t>*</w:t>
      </w:r>
      <w:r w:rsidRPr="00A13135">
        <w:rPr>
          <w:rFonts w:asciiTheme="minorHAnsi" w:hAnsiTheme="minorHAnsi" w:cstheme="minorHAnsi"/>
        </w:rPr>
        <w:t xml:space="preserve">  </w:t>
      </w:r>
    </w:p>
    <w:p w14:paraId="674AAA28" w14:textId="07261221"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Metastatic colorectal cancer, in combination with fluoropyrimidine-irinotecan-or fluoropyrimidine-oxaliplatin-based chemotherapy for second-line treatment in patients who have progressed on a first-line bevacizumab product-containing regimen.</w:t>
      </w:r>
      <w:r w:rsidR="00AD6F4A">
        <w:rPr>
          <w:rFonts w:asciiTheme="minorHAnsi" w:hAnsiTheme="minorHAnsi" w:cstheme="minorHAnsi"/>
        </w:rPr>
        <w:t>*</w:t>
      </w:r>
      <w:r w:rsidRPr="00A13135">
        <w:rPr>
          <w:rFonts w:asciiTheme="minorHAnsi" w:hAnsiTheme="minorHAnsi" w:cstheme="minorHAnsi"/>
        </w:rPr>
        <w:t xml:space="preserve"> </w:t>
      </w:r>
    </w:p>
    <w:p w14:paraId="366EAAC8" w14:textId="7AD100A1" w:rsidR="009E5EFC" w:rsidRPr="00A13135" w:rsidRDefault="00AD6F4A" w:rsidP="009E5EFC">
      <w:pPr>
        <w:pStyle w:val="NormalWeb"/>
        <w:numPr>
          <w:ilvl w:val="0"/>
          <w:numId w:val="1"/>
        </w:numPr>
        <w:rPr>
          <w:rFonts w:asciiTheme="minorHAnsi" w:hAnsiTheme="minorHAnsi" w:cstheme="minorHAnsi"/>
        </w:rPr>
      </w:pPr>
      <w:r w:rsidRPr="00AD6F4A">
        <w:rPr>
          <w:rFonts w:asciiTheme="minorHAnsi" w:hAnsiTheme="minorHAnsi" w:cstheme="minorHAnsi"/>
        </w:rPr>
        <w:t>Unresectable, locally advanced, recurrent or metastatic</w:t>
      </w:r>
      <w:r>
        <w:rPr>
          <w:rFonts w:asciiTheme="minorHAnsi" w:hAnsiTheme="minorHAnsi" w:cstheme="minorHAnsi"/>
        </w:rPr>
        <w:t xml:space="preserve"> </w:t>
      </w:r>
      <w:r w:rsidR="009E5EFC" w:rsidRPr="00A13135">
        <w:rPr>
          <w:rFonts w:asciiTheme="minorHAnsi" w:hAnsiTheme="minorHAnsi" w:cstheme="minorHAnsi"/>
        </w:rPr>
        <w:t>non-squamous non-small cell lung cancer, in combination with carboplatin and paclitaxel</w:t>
      </w:r>
      <w:r w:rsidR="00641250">
        <w:rPr>
          <w:rFonts w:asciiTheme="minorHAnsi" w:hAnsiTheme="minorHAnsi" w:cstheme="minorHAnsi"/>
        </w:rPr>
        <w:t xml:space="preserve"> </w:t>
      </w:r>
      <w:r w:rsidRPr="00AD6F4A">
        <w:rPr>
          <w:rFonts w:asciiTheme="minorHAnsi" w:hAnsiTheme="minorHAnsi" w:cstheme="minorHAnsi"/>
        </w:rPr>
        <w:t>for first-line treatment</w:t>
      </w:r>
      <w:r w:rsidR="009E5EFC" w:rsidRPr="00A13135">
        <w:rPr>
          <w:rFonts w:asciiTheme="minorHAnsi" w:hAnsiTheme="minorHAnsi" w:cstheme="minorHAnsi"/>
        </w:rPr>
        <w:t xml:space="preserve">.  </w:t>
      </w:r>
    </w:p>
    <w:p w14:paraId="4E9A83DC"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Recurrent glioblastoma in adults. </w:t>
      </w:r>
    </w:p>
    <w:p w14:paraId="18C17A86"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Metastatic renal cell carcinoma in combination with interferon alfa. </w:t>
      </w:r>
    </w:p>
    <w:p w14:paraId="518613DC" w14:textId="61F73205"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Persistent, recurrent, or metastatic </w:t>
      </w:r>
      <w:r w:rsidR="00A2058E">
        <w:rPr>
          <w:rFonts w:asciiTheme="minorHAnsi" w:hAnsiTheme="minorHAnsi" w:cstheme="minorHAnsi"/>
        </w:rPr>
        <w:t xml:space="preserve">advanced </w:t>
      </w:r>
      <w:r w:rsidRPr="00A13135">
        <w:rPr>
          <w:rFonts w:asciiTheme="minorHAnsi" w:hAnsiTheme="minorHAnsi" w:cstheme="minorHAnsi"/>
        </w:rPr>
        <w:t xml:space="preserve">cervical cancer, in combination with paclitaxel and cisplatin, or paclitaxel and topotecan. </w:t>
      </w:r>
    </w:p>
    <w:p w14:paraId="1FB4CD12"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Epithelial ovarian, fallopian tube, or primary peritoneal cancer:</w:t>
      </w:r>
    </w:p>
    <w:p w14:paraId="762BDF76" w14:textId="77777777" w:rsidR="009E5EFC" w:rsidRPr="00A13135" w:rsidRDefault="009E5EFC" w:rsidP="009E5EFC">
      <w:pPr>
        <w:pStyle w:val="NormalWeb"/>
        <w:numPr>
          <w:ilvl w:val="1"/>
          <w:numId w:val="1"/>
        </w:numPr>
        <w:rPr>
          <w:rFonts w:asciiTheme="minorHAnsi" w:hAnsiTheme="minorHAnsi" w:cstheme="minorHAnsi"/>
        </w:rPr>
      </w:pPr>
      <w:r w:rsidRPr="00A13135">
        <w:rPr>
          <w:rFonts w:asciiTheme="minorHAnsi" w:hAnsiTheme="minorHAnsi" w:cstheme="minorHAnsi"/>
        </w:rPr>
        <w:t xml:space="preserve">in combination with carboplatin and paclitaxel, followed by JOBEVNE as a single agent, for stage III or IV disease following initial surgical resection </w:t>
      </w:r>
    </w:p>
    <w:p w14:paraId="0C28AD5A" w14:textId="77777777" w:rsidR="009E5EFC" w:rsidRPr="00A13135" w:rsidRDefault="009E5EFC" w:rsidP="009E5EFC">
      <w:pPr>
        <w:pStyle w:val="NormalWeb"/>
        <w:numPr>
          <w:ilvl w:val="1"/>
          <w:numId w:val="1"/>
        </w:numPr>
        <w:rPr>
          <w:rFonts w:asciiTheme="minorHAnsi" w:hAnsiTheme="minorHAnsi" w:cstheme="minorHAnsi"/>
        </w:rPr>
      </w:pPr>
      <w:r w:rsidRPr="00A13135">
        <w:rPr>
          <w:rFonts w:asciiTheme="minorHAnsi" w:hAnsiTheme="minorHAnsi" w:cstheme="minorHAnsi"/>
        </w:rPr>
        <w:t xml:space="preserve">in combination with paclitaxel, pegylated liposomal doxorubicin, or topotecan for platinum-resistant recurrent disease who received no more than 2 prior chemotherapy regimens </w:t>
      </w:r>
    </w:p>
    <w:p w14:paraId="0F8F165D" w14:textId="77777777" w:rsidR="009E5EFC" w:rsidRPr="00A13135" w:rsidRDefault="009E5EFC" w:rsidP="009E5EFC">
      <w:pPr>
        <w:pStyle w:val="NormalWeb"/>
        <w:numPr>
          <w:ilvl w:val="1"/>
          <w:numId w:val="1"/>
        </w:numPr>
        <w:rPr>
          <w:rFonts w:asciiTheme="minorHAnsi" w:hAnsiTheme="minorHAnsi" w:cstheme="minorHAnsi"/>
        </w:rPr>
      </w:pPr>
      <w:r w:rsidRPr="00A13135">
        <w:rPr>
          <w:rFonts w:asciiTheme="minorHAnsi" w:hAnsiTheme="minorHAnsi" w:cstheme="minorHAnsi"/>
        </w:rPr>
        <w:t xml:space="preserve">in combination with carboplatin and paclitaxel or carboplatin and gemcitabine, followed by JOBEVNE as a single agent, for platinum-sensitive recurrent disease </w:t>
      </w:r>
    </w:p>
    <w:p w14:paraId="7F5997E4" w14:textId="798A3E5E" w:rsidR="009E5EFC" w:rsidRPr="00A13135" w:rsidRDefault="00AD6F4A" w:rsidP="009E5EFC">
      <w:pPr>
        <w:pStyle w:val="NormalWeb"/>
        <w:rPr>
          <w:rFonts w:asciiTheme="minorHAnsi" w:hAnsiTheme="minorHAnsi" w:cstheme="minorHAnsi"/>
        </w:rPr>
      </w:pPr>
      <w:r>
        <w:rPr>
          <w:rFonts w:asciiTheme="minorHAnsi" w:hAnsiTheme="minorHAnsi" w:cstheme="minorHAnsi"/>
          <w:u w:val="single"/>
        </w:rPr>
        <w:t xml:space="preserve">* </w:t>
      </w:r>
      <w:r w:rsidR="009E5EFC" w:rsidRPr="00A13135">
        <w:rPr>
          <w:rFonts w:asciiTheme="minorHAnsi" w:hAnsiTheme="minorHAnsi" w:cstheme="minorHAnsi"/>
          <w:u w:val="single"/>
        </w:rPr>
        <w:t>Limitations of Use:</w:t>
      </w:r>
      <w:r w:rsidR="009E5EFC" w:rsidRPr="00A13135">
        <w:rPr>
          <w:rFonts w:asciiTheme="minorHAnsi" w:hAnsiTheme="minorHAnsi" w:cstheme="minorHAnsi"/>
        </w:rPr>
        <w:t xml:space="preserve"> JOBEVNE is not indicated for adjuvant treatment of colon cancer.</w:t>
      </w:r>
    </w:p>
    <w:p w14:paraId="2B25092E" w14:textId="77777777" w:rsidR="009E5EFC" w:rsidRPr="00A13135" w:rsidRDefault="009E5EFC" w:rsidP="009E5EFC">
      <w:pPr>
        <w:autoSpaceDE w:val="0"/>
        <w:autoSpaceDN w:val="0"/>
        <w:rPr>
          <w:rFonts w:asciiTheme="minorHAnsi" w:hAnsiTheme="minorHAnsi" w:cstheme="minorHAnsi"/>
          <w:b/>
          <w:bCs/>
          <w:u w:val="single"/>
        </w:rPr>
      </w:pPr>
      <w:r w:rsidRPr="00A13135">
        <w:rPr>
          <w:rFonts w:asciiTheme="minorHAnsi" w:hAnsiTheme="minorHAnsi" w:cstheme="minorHAnsi"/>
          <w:b/>
          <w:bCs/>
          <w:u w:val="single"/>
        </w:rPr>
        <w:t>WARNINGS AND PRECAUTIONS:</w:t>
      </w:r>
    </w:p>
    <w:p w14:paraId="46DDED39"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Gastrointestinal Perforations and Fistula: Discontinue for gastrointestinal perforations, tracheoesophageal fistula, Grade 4 fistula, or fistula formation involving any organ </w:t>
      </w:r>
    </w:p>
    <w:p w14:paraId="4AE2706F"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Surgery and Wound Healing Complications: In patients who experience wound healing complications </w:t>
      </w:r>
      <w:r w:rsidRPr="00A13135">
        <w:rPr>
          <w:rFonts w:asciiTheme="minorHAnsi" w:eastAsiaTheme="minorHAnsi" w:hAnsiTheme="minorHAnsi" w:cstheme="minorHAnsi"/>
        </w:rPr>
        <w:t xml:space="preserve">during </w:t>
      </w:r>
      <w:r w:rsidRPr="00A13135">
        <w:rPr>
          <w:rFonts w:asciiTheme="minorHAnsi" w:hAnsiTheme="minorHAnsi" w:cstheme="minorHAnsi"/>
        </w:rPr>
        <w:t xml:space="preserve">JOBEVNE </w:t>
      </w:r>
      <w:r w:rsidRPr="00A13135">
        <w:rPr>
          <w:rFonts w:asciiTheme="minorHAnsi" w:eastAsiaTheme="minorHAnsi" w:hAnsiTheme="minorHAnsi" w:cstheme="minorHAnsi"/>
        </w:rPr>
        <w:t xml:space="preserve">treatment, withhold </w:t>
      </w:r>
      <w:r w:rsidRPr="00A13135">
        <w:rPr>
          <w:rFonts w:asciiTheme="minorHAnsi" w:hAnsiTheme="minorHAnsi" w:cstheme="minorHAnsi"/>
        </w:rPr>
        <w:t xml:space="preserve">JOBEVNE </w:t>
      </w:r>
      <w:r w:rsidRPr="00A13135">
        <w:rPr>
          <w:rFonts w:asciiTheme="minorHAnsi" w:eastAsiaTheme="minorHAnsi" w:hAnsiTheme="minorHAnsi" w:cstheme="minorHAnsi"/>
        </w:rPr>
        <w:t>until adequate wound healing</w:t>
      </w:r>
      <w:r w:rsidRPr="00A13135">
        <w:rPr>
          <w:rFonts w:asciiTheme="minorHAnsi" w:hAnsiTheme="minorHAnsi" w:cstheme="minorHAnsi"/>
        </w:rPr>
        <w:t xml:space="preserve">. Withhold for at least 28 days prior to elective surgery. Do not administer JOBEVNE for at least 28 days following a major surgery, and until adequate wound healing. </w:t>
      </w:r>
      <w:r w:rsidRPr="00A13135">
        <w:rPr>
          <w:rFonts w:asciiTheme="minorHAnsi" w:eastAsiaTheme="minorHAnsi" w:hAnsiTheme="minorHAnsi" w:cstheme="minorHAnsi"/>
        </w:rPr>
        <w:t>The safety of resumption of bevacizumab products</w:t>
      </w:r>
      <w:r w:rsidRPr="00A13135" w:rsidDel="00F826FF">
        <w:rPr>
          <w:rFonts w:asciiTheme="minorHAnsi" w:eastAsiaTheme="minorHAnsi" w:hAnsiTheme="minorHAnsi" w:cstheme="minorHAnsi"/>
        </w:rPr>
        <w:t xml:space="preserve"> </w:t>
      </w:r>
      <w:r w:rsidRPr="00A13135">
        <w:rPr>
          <w:rFonts w:asciiTheme="minorHAnsi" w:eastAsiaTheme="minorHAnsi" w:hAnsiTheme="minorHAnsi" w:cstheme="minorHAnsi"/>
        </w:rPr>
        <w:t>after resolution of wound healing complication has not been established. Discontinue for wound healing complications of necrotizing fasciitis</w:t>
      </w:r>
      <w:r w:rsidRPr="00A13135">
        <w:rPr>
          <w:rFonts w:asciiTheme="minorHAnsi" w:hAnsiTheme="minorHAnsi" w:cstheme="minorHAnsi"/>
        </w:rPr>
        <w:t xml:space="preserve">.  </w:t>
      </w:r>
    </w:p>
    <w:p w14:paraId="6C002C29"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Hemorrhage: Severe or fatal hemorrhages have occurred. Do not administer for recent hemoptysis. Discontinue for Grade 3-4 hemorrhage. </w:t>
      </w:r>
    </w:p>
    <w:p w14:paraId="5DAB18EE"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Arterial Thromboembolic Events (ATE): Discontinue for severe ATE. </w:t>
      </w:r>
    </w:p>
    <w:p w14:paraId="07E83C01"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Venous Thromboembolic Events (VTE): Discontinue for Grade 4 VTE. </w:t>
      </w:r>
    </w:p>
    <w:p w14:paraId="7352A829" w14:textId="77777777" w:rsidR="009E5EFC" w:rsidRPr="00A13135" w:rsidRDefault="009E5EFC" w:rsidP="009E5EFC">
      <w:pPr>
        <w:pStyle w:val="NormalWeb"/>
        <w:numPr>
          <w:ilvl w:val="0"/>
          <w:numId w:val="1"/>
        </w:numPr>
        <w:rPr>
          <w:rFonts w:asciiTheme="minorHAnsi" w:hAnsiTheme="minorHAnsi" w:cstheme="minorHAnsi"/>
        </w:rPr>
      </w:pPr>
      <w:bookmarkStart w:id="2" w:name="_Hlk48907855"/>
      <w:r w:rsidRPr="00A13135">
        <w:rPr>
          <w:rFonts w:asciiTheme="minorHAnsi" w:hAnsiTheme="minorHAnsi" w:cstheme="minorHAnsi"/>
        </w:rPr>
        <w:lastRenderedPageBreak/>
        <w:t xml:space="preserve">Hypertension: Monitor blood pressure and treat hypertension. Withhold until medically controlled; resume once controlled. Discontinue for hypertensive crisis or hypertensive encephalopathy. </w:t>
      </w:r>
    </w:p>
    <w:bookmarkEnd w:id="2"/>
    <w:p w14:paraId="450A16C5"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Posterior Reversible Encephalopathy Syndrome (PRES): Discontinue. </w:t>
      </w:r>
    </w:p>
    <w:p w14:paraId="2F18505F"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Renal Injury and Proteinuria: Monitor urine protein. Discontinue for nephrotic syndrome. Withhold until less than 2 grams of protein in urine. </w:t>
      </w:r>
    </w:p>
    <w:p w14:paraId="52D006F4"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Infusion-Related Reactions: Decrease rate for infusion-related reactions. Discontinue for severe infusion-related reactions and administer medical therapy. </w:t>
      </w:r>
    </w:p>
    <w:p w14:paraId="11A7B28F"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Embryo-Fetal Toxicity: May cause fetal harm. Advise females of potential risk to fetus and need for use of effective contraception. </w:t>
      </w:r>
    </w:p>
    <w:p w14:paraId="6979CB59"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 xml:space="preserve">Ovarian Failure: Advise females of the potential risk. </w:t>
      </w:r>
    </w:p>
    <w:p w14:paraId="007B0667" w14:textId="77777777" w:rsidR="009E5EFC" w:rsidRPr="00A13135" w:rsidRDefault="009E5EFC" w:rsidP="009E5EFC">
      <w:pPr>
        <w:pStyle w:val="NormalWeb"/>
        <w:numPr>
          <w:ilvl w:val="0"/>
          <w:numId w:val="1"/>
        </w:numPr>
        <w:rPr>
          <w:rFonts w:asciiTheme="minorHAnsi" w:hAnsiTheme="minorHAnsi" w:cstheme="minorHAnsi"/>
        </w:rPr>
      </w:pPr>
      <w:r w:rsidRPr="00A13135">
        <w:rPr>
          <w:rFonts w:asciiTheme="minorHAnsi" w:hAnsiTheme="minorHAnsi" w:cstheme="minorHAnsi"/>
        </w:rPr>
        <w:t>Congestive Heart Failure (CHF): Discontinue JOBEVNE in patients who develop CHF.</w:t>
      </w:r>
    </w:p>
    <w:p w14:paraId="131B71D2" w14:textId="35E13FF8" w:rsidR="009E5EFC" w:rsidRDefault="009E5EFC" w:rsidP="009E5EFC">
      <w:pPr>
        <w:autoSpaceDE w:val="0"/>
        <w:autoSpaceDN w:val="0"/>
        <w:adjustRightInd w:val="0"/>
        <w:rPr>
          <w:rFonts w:asciiTheme="minorHAnsi" w:hAnsiTheme="minorHAnsi" w:cstheme="minorHAnsi"/>
        </w:rPr>
      </w:pPr>
      <w:r w:rsidRPr="00A13135">
        <w:rPr>
          <w:rFonts w:asciiTheme="minorHAnsi" w:hAnsiTheme="minorHAnsi" w:cstheme="minorHAnsi"/>
        </w:rPr>
        <w:t xml:space="preserve">Please refer to full Prescribing Information for </w:t>
      </w:r>
      <w:r w:rsidRPr="003C6063">
        <w:rPr>
          <w:rFonts w:asciiTheme="minorHAnsi" w:hAnsiTheme="minorHAnsi" w:cstheme="minorHAnsi"/>
        </w:rPr>
        <w:t>J</w:t>
      </w:r>
      <w:r w:rsidR="00D0685F" w:rsidRPr="003C6063">
        <w:rPr>
          <w:rFonts w:asciiTheme="minorHAnsi" w:hAnsiTheme="minorHAnsi" w:cstheme="minorHAnsi"/>
        </w:rPr>
        <w:t>obevne™</w:t>
      </w:r>
      <w:r w:rsidRPr="003C6063">
        <w:rPr>
          <w:rFonts w:asciiTheme="minorHAnsi" w:hAnsiTheme="minorHAnsi" w:cstheme="minorHAnsi"/>
        </w:rPr>
        <w:t xml:space="preserve"> (</w:t>
      </w:r>
      <w:r w:rsidR="00EA3C91" w:rsidRPr="003C6063">
        <w:rPr>
          <w:rFonts w:asciiTheme="minorHAnsi" w:hAnsiTheme="minorHAnsi" w:cstheme="minorHAnsi"/>
        </w:rPr>
        <w:t>bevacizumab-nwgd</w:t>
      </w:r>
      <w:r w:rsidRPr="003C6063">
        <w:rPr>
          <w:rFonts w:asciiTheme="minorHAnsi" w:hAnsiTheme="minorHAnsi" w:cstheme="minorHAnsi"/>
        </w:rPr>
        <w:t xml:space="preserve">) </w:t>
      </w:r>
      <w:r w:rsidRPr="00A13135">
        <w:rPr>
          <w:rFonts w:asciiTheme="minorHAnsi" w:hAnsiTheme="minorHAnsi" w:cstheme="minorHAnsi"/>
        </w:rPr>
        <w:t>for more information.</w:t>
      </w:r>
      <w:r w:rsidR="00A13135" w:rsidRPr="00A13135">
        <w:rPr>
          <w:rFonts w:asciiTheme="minorHAnsi" w:hAnsiTheme="minorHAnsi" w:cstheme="minorHAnsi"/>
        </w:rPr>
        <w:t xml:space="preserve"> </w:t>
      </w:r>
      <w:r w:rsidRPr="00A13135">
        <w:rPr>
          <w:rFonts w:asciiTheme="minorHAnsi" w:hAnsiTheme="minorHAnsi" w:cstheme="minorHAnsi"/>
        </w:rPr>
        <w:t xml:space="preserve">To report SUSPECTED ADVERSE REACTIONS, contact Biocon Biologics at 1-833-986-1468 or FDA at 1-800-FDA-1088 or </w:t>
      </w:r>
      <w:hyperlink r:id="rId11" w:history="1">
        <w:r w:rsidR="0030474D" w:rsidRPr="008728BD">
          <w:rPr>
            <w:rStyle w:val="Hyperlink"/>
            <w:rFonts w:asciiTheme="minorHAnsi" w:hAnsiTheme="minorHAnsi" w:cstheme="minorHAnsi"/>
          </w:rPr>
          <w:t>www.fda.gov/medwatch</w:t>
        </w:r>
      </w:hyperlink>
      <w:r w:rsidRPr="00A13135">
        <w:rPr>
          <w:rFonts w:asciiTheme="minorHAnsi" w:hAnsiTheme="minorHAnsi" w:cstheme="minorHAnsi"/>
        </w:rPr>
        <w:t>.</w:t>
      </w:r>
    </w:p>
    <w:p w14:paraId="613F6369" w14:textId="77777777" w:rsidR="0030474D" w:rsidRPr="00A13135" w:rsidRDefault="0030474D" w:rsidP="009E5EFC">
      <w:pPr>
        <w:autoSpaceDE w:val="0"/>
        <w:autoSpaceDN w:val="0"/>
        <w:adjustRightInd w:val="0"/>
        <w:rPr>
          <w:rFonts w:asciiTheme="minorHAnsi" w:hAnsiTheme="minorHAnsi" w:cstheme="minorHAnsi"/>
        </w:rPr>
      </w:pPr>
    </w:p>
    <w:p w14:paraId="132B7237" w14:textId="5E31D1D0" w:rsidR="00AD3220" w:rsidRPr="0030474D" w:rsidRDefault="00AD3220" w:rsidP="00AD3220">
      <w:pPr>
        <w:rPr>
          <w:rFonts w:asciiTheme="minorHAnsi" w:hAnsiTheme="minorHAnsi" w:cstheme="minorHAnsi"/>
          <w:sz w:val="20"/>
          <w:szCs w:val="20"/>
          <w:lang w:val="en-IN"/>
        </w:rPr>
      </w:pPr>
      <w:r w:rsidRPr="0030474D">
        <w:rPr>
          <w:rFonts w:asciiTheme="minorHAnsi" w:hAnsiTheme="minorHAnsi" w:cstheme="minorHAnsi"/>
          <w:sz w:val="20"/>
          <w:szCs w:val="20"/>
        </w:rPr>
        <w:t xml:space="preserve">JOBEVNE is a trademark of </w:t>
      </w:r>
      <w:r w:rsidRPr="0030474D">
        <w:rPr>
          <w:rFonts w:asciiTheme="minorHAnsi" w:hAnsiTheme="minorHAnsi" w:cstheme="minorHAnsi"/>
          <w:sz w:val="20"/>
          <w:szCs w:val="20"/>
          <w:lang w:val="en-IN"/>
        </w:rPr>
        <w:t>Biosimilars Newco Limited, a Biocon Biologics Company.</w:t>
      </w:r>
    </w:p>
    <w:p w14:paraId="04C974B6" w14:textId="69FC792A" w:rsidR="00AD3220" w:rsidRDefault="00AD3220" w:rsidP="00AD3220">
      <w:pPr>
        <w:rPr>
          <w:rFonts w:asciiTheme="minorHAnsi" w:hAnsiTheme="minorHAnsi" w:cstheme="minorHAnsi"/>
          <w:sz w:val="20"/>
          <w:szCs w:val="20"/>
          <w:lang w:val="en-IN"/>
        </w:rPr>
      </w:pPr>
      <w:r w:rsidRPr="0030474D">
        <w:rPr>
          <w:rFonts w:asciiTheme="minorHAnsi" w:hAnsiTheme="minorHAnsi" w:cstheme="minorHAnsi"/>
          <w:sz w:val="20"/>
          <w:szCs w:val="20"/>
          <w:lang w:val="en-IN"/>
        </w:rPr>
        <w:t xml:space="preserve">OGIVRI, FULPHILA, </w:t>
      </w:r>
      <w:r w:rsidR="00EA3C91">
        <w:rPr>
          <w:rFonts w:asciiTheme="minorHAnsi" w:hAnsiTheme="minorHAnsi" w:cstheme="minorHAnsi"/>
          <w:sz w:val="20"/>
          <w:szCs w:val="20"/>
          <w:lang w:val="en-IN"/>
        </w:rPr>
        <w:t>S</w:t>
      </w:r>
      <w:r w:rsidR="00256DE4">
        <w:rPr>
          <w:rFonts w:asciiTheme="minorHAnsi" w:hAnsiTheme="minorHAnsi" w:cstheme="minorHAnsi"/>
          <w:sz w:val="20"/>
          <w:szCs w:val="20"/>
          <w:lang w:val="en-IN"/>
        </w:rPr>
        <w:t>EMGLEE</w:t>
      </w:r>
      <w:r w:rsidR="00EA3C91">
        <w:rPr>
          <w:rFonts w:asciiTheme="minorHAnsi" w:hAnsiTheme="minorHAnsi" w:cstheme="minorHAnsi"/>
          <w:sz w:val="20"/>
          <w:szCs w:val="20"/>
          <w:lang w:val="en-IN"/>
        </w:rPr>
        <w:t xml:space="preserve"> </w:t>
      </w:r>
      <w:r w:rsidRPr="0030474D">
        <w:rPr>
          <w:rFonts w:asciiTheme="minorHAnsi" w:hAnsiTheme="minorHAnsi" w:cstheme="minorHAnsi"/>
          <w:sz w:val="20"/>
          <w:szCs w:val="20"/>
          <w:lang w:val="en-IN"/>
        </w:rPr>
        <w:t>and ABEVMY are registered trademarks of Biosimilars Newco Limited, a Biocon Biologics Company.</w:t>
      </w:r>
    </w:p>
    <w:p w14:paraId="722E040F" w14:textId="77777777" w:rsidR="00DA1658" w:rsidRDefault="00DA1658" w:rsidP="00DA1658">
      <w:pPr>
        <w:rPr>
          <w:rFonts w:asciiTheme="minorHAnsi" w:hAnsiTheme="minorHAnsi" w:cstheme="minorHAnsi"/>
          <w:sz w:val="20"/>
          <w:szCs w:val="20"/>
        </w:rPr>
      </w:pPr>
      <w:r w:rsidRPr="00DA1658">
        <w:rPr>
          <w:rFonts w:asciiTheme="minorHAnsi" w:hAnsiTheme="minorHAnsi" w:cstheme="minorHAnsi"/>
          <w:sz w:val="20"/>
          <w:szCs w:val="20"/>
        </w:rPr>
        <w:t xml:space="preserve">BIOCON BIOLOGICS and the Biocon Biologics Logo are registered trademarks of Biocon Biologics Limited. </w:t>
      </w:r>
    </w:p>
    <w:p w14:paraId="2220FA00" w14:textId="539ABC13" w:rsidR="00AD3220" w:rsidRPr="00D0685F" w:rsidRDefault="00DA1658" w:rsidP="00DA1658">
      <w:pPr>
        <w:rPr>
          <w:rFonts w:asciiTheme="minorHAnsi" w:hAnsiTheme="minorHAnsi" w:cstheme="minorHAnsi"/>
          <w:sz w:val="20"/>
          <w:szCs w:val="20"/>
          <w:lang w:val="en-IN"/>
        </w:rPr>
      </w:pPr>
      <w:r w:rsidRPr="00DA1658">
        <w:rPr>
          <w:rFonts w:asciiTheme="minorHAnsi" w:hAnsiTheme="minorHAnsi" w:cstheme="minorHAnsi"/>
          <w:sz w:val="20"/>
          <w:szCs w:val="20"/>
        </w:rPr>
        <w:t>All other trademarks are the property of their respective owners.</w:t>
      </w:r>
    </w:p>
    <w:p w14:paraId="58927CA9" w14:textId="32ABBE00" w:rsidR="00D0685F" w:rsidRPr="00D0685F" w:rsidRDefault="00D0685F" w:rsidP="00D0685F">
      <w:pPr>
        <w:rPr>
          <w:rFonts w:asciiTheme="minorHAnsi" w:hAnsiTheme="minorHAnsi" w:cstheme="minorHAnsi"/>
          <w:sz w:val="20"/>
          <w:szCs w:val="20"/>
        </w:rPr>
      </w:pPr>
      <w:r w:rsidRPr="00D0685F">
        <w:rPr>
          <w:rFonts w:asciiTheme="minorHAnsi" w:hAnsiTheme="minorHAnsi" w:cstheme="minorHAnsi"/>
          <w:sz w:val="20"/>
          <w:szCs w:val="20"/>
        </w:rPr>
        <w:t>**Sales projections are based on Biocon Biologics’ analysis of IQVIA</w:t>
      </w:r>
      <w:r>
        <w:rPr>
          <w:rFonts w:asciiTheme="minorHAnsi" w:hAnsiTheme="minorHAnsi" w:cstheme="minorHAnsi"/>
          <w:sz w:val="20"/>
          <w:szCs w:val="20"/>
        </w:rPr>
        <w:t xml:space="preserve"> 2023 </w:t>
      </w:r>
      <w:r w:rsidRPr="00D0685F">
        <w:rPr>
          <w:rFonts w:asciiTheme="minorHAnsi" w:hAnsiTheme="minorHAnsi" w:cstheme="minorHAnsi"/>
          <w:sz w:val="20"/>
          <w:szCs w:val="20"/>
        </w:rPr>
        <w:t>data.</w:t>
      </w:r>
    </w:p>
    <w:p w14:paraId="68507265" w14:textId="77777777" w:rsidR="00D0685F" w:rsidRPr="0030474D" w:rsidRDefault="00D0685F" w:rsidP="00A05B91">
      <w:pPr>
        <w:rPr>
          <w:rFonts w:asciiTheme="minorHAnsi" w:hAnsiTheme="minorHAnsi" w:cstheme="minorHAnsi"/>
          <w:sz w:val="20"/>
          <w:szCs w:val="20"/>
        </w:rPr>
      </w:pPr>
    </w:p>
    <w:p w14:paraId="1693385E" w14:textId="77777777" w:rsidR="00A05B91" w:rsidRPr="003F44CD" w:rsidRDefault="00A05B91" w:rsidP="00A05B91">
      <w:pPr>
        <w:shd w:val="clear" w:color="auto" w:fill="FFFFFF" w:themeFill="background1"/>
        <w:jc w:val="both"/>
        <w:rPr>
          <w:rFonts w:asciiTheme="minorHAnsi" w:hAnsiTheme="minorHAnsi" w:cs="Calibri"/>
          <w:b/>
          <w:bCs/>
          <w:color w:val="000000" w:themeColor="text1"/>
        </w:rPr>
      </w:pPr>
      <w:r w:rsidRPr="003F44CD">
        <w:rPr>
          <w:rFonts w:asciiTheme="minorHAnsi" w:hAnsiTheme="minorHAnsi" w:cs="Calibri"/>
          <w:b/>
          <w:bCs/>
          <w:color w:val="000000" w:themeColor="text1"/>
        </w:rPr>
        <w:t>About Biocon Biologics Limited: </w:t>
      </w:r>
    </w:p>
    <w:p w14:paraId="7C9D2EF2" w14:textId="77777777" w:rsidR="006F6388" w:rsidRPr="006F6388" w:rsidRDefault="006F6388" w:rsidP="006F6388">
      <w:pPr>
        <w:shd w:val="clear" w:color="auto" w:fill="FFFFFF" w:themeFill="background1"/>
        <w:jc w:val="both"/>
        <w:rPr>
          <w:rFonts w:asciiTheme="minorHAnsi" w:hAnsiTheme="minorHAnsi" w:cstheme="minorHAnsi"/>
          <w:color w:val="000000" w:themeColor="text1"/>
          <w:sz w:val="20"/>
          <w:szCs w:val="20"/>
        </w:rPr>
      </w:pPr>
    </w:p>
    <w:p w14:paraId="351EF5FF" w14:textId="77777777" w:rsidR="006F6388" w:rsidRPr="0030474D" w:rsidRDefault="006F6388" w:rsidP="006F6388">
      <w:pPr>
        <w:pStyle w:val="NoSpacing"/>
        <w:jc w:val="both"/>
        <w:rPr>
          <w:rStyle w:val="cf01"/>
          <w:rFonts w:asciiTheme="minorHAnsi" w:hAnsiTheme="minorHAnsi" w:cstheme="minorHAnsi"/>
          <w:sz w:val="20"/>
          <w:szCs w:val="20"/>
          <w:lang w:val="en-US"/>
        </w:rPr>
      </w:pPr>
      <w:r w:rsidRPr="006F6388">
        <w:rPr>
          <w:rFonts w:cstheme="minorHAnsi"/>
          <w:b/>
          <w:bCs/>
          <w:color w:val="000000" w:themeColor="text1"/>
          <w:sz w:val="20"/>
          <w:szCs w:val="20"/>
          <w:lang w:val="en-US"/>
        </w:rPr>
        <w:t>Biocon Biologics Ltd. (BBL)</w:t>
      </w:r>
      <w:r w:rsidRPr="006F6388">
        <w:rPr>
          <w:rFonts w:cstheme="minorHAnsi"/>
          <w:color w:val="000000" w:themeColor="text1"/>
          <w:sz w:val="20"/>
          <w:szCs w:val="20"/>
          <w:lang w:val="en-US"/>
        </w:rPr>
        <w:t xml:space="preserve">, </w:t>
      </w:r>
      <w:r w:rsidRPr="0030474D">
        <w:rPr>
          <w:rStyle w:val="cf01"/>
          <w:rFonts w:asciiTheme="minorHAnsi" w:hAnsiTheme="minorHAnsi" w:cstheme="minorHAnsi"/>
          <w:sz w:val="20"/>
          <w:szCs w:val="20"/>
          <w:lang w:val="en-US"/>
        </w:rPr>
        <w:t>a subsidiary of Biocon Limited, is a unique, fully integrated, global biosimilars company committed to transforming healthcare and transforming lives. It is capitalizing on its ‘lab to market’ capabilities to serve millions of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7FD009AE" w14:textId="77777777" w:rsidR="006F6388" w:rsidRPr="006F6388" w:rsidRDefault="006F6388" w:rsidP="006F6388">
      <w:pPr>
        <w:pStyle w:val="NoSpacing"/>
        <w:jc w:val="both"/>
        <w:rPr>
          <w:rFonts w:cstheme="minorHAnsi"/>
          <w:sz w:val="20"/>
          <w:szCs w:val="20"/>
        </w:rPr>
      </w:pPr>
    </w:p>
    <w:p w14:paraId="6B105471" w14:textId="77777777" w:rsidR="006F6388" w:rsidRPr="0030474D" w:rsidRDefault="006F6388" w:rsidP="66F046BB">
      <w:pPr>
        <w:pStyle w:val="NoSpacing"/>
        <w:jc w:val="both"/>
        <w:rPr>
          <w:rStyle w:val="cf01"/>
          <w:rFonts w:asciiTheme="minorHAnsi" w:hAnsiTheme="minorHAnsi" w:cstheme="minorBidi"/>
          <w:sz w:val="20"/>
          <w:szCs w:val="20"/>
          <w:lang w:val="en-US"/>
        </w:rPr>
      </w:pPr>
      <w:bookmarkStart w:id="3" w:name="_Hlk192142497"/>
      <w:r w:rsidRPr="66F046BB">
        <w:rPr>
          <w:rStyle w:val="cf01"/>
          <w:rFonts w:asciiTheme="minorHAnsi" w:hAnsiTheme="minorHAnsi" w:cstheme="minorBidi"/>
          <w:sz w:val="20"/>
          <w:szCs w:val="20"/>
          <w:lang w:val="en-US"/>
        </w:rPr>
        <w:t xml:space="preserve">Biocon Biologics has commercialized nine biosimilars from its pipeline of 20 products in key emerging markets and advanced markets like U.S., Europe, Australia, Canada, and Japan. It’s pipeline has several biosimilar assets under development across diabetology, oncology, immunology, ophthalmology, and other non-communicable diseases. The Company has many ‘firsts’ to its credit in the biosimilars industry. As part of its environmental, social and governance (ESG) commitment, it is advancing the health of patients, people, and the planet to achieve key UN Sustainable Development Goals (SDGs). </w:t>
      </w:r>
    </w:p>
    <w:p w14:paraId="6C84532E" w14:textId="77777777" w:rsidR="006F6388" w:rsidRPr="006F6388" w:rsidRDefault="006F6388" w:rsidP="006F6388">
      <w:pPr>
        <w:pStyle w:val="NoSpacing"/>
        <w:rPr>
          <w:rFonts w:cstheme="minorHAnsi"/>
          <w:sz w:val="20"/>
          <w:szCs w:val="20"/>
        </w:rPr>
      </w:pPr>
      <w:r w:rsidRPr="0030474D">
        <w:rPr>
          <w:rStyle w:val="cf01"/>
          <w:rFonts w:asciiTheme="minorHAnsi" w:hAnsiTheme="minorHAnsi" w:cstheme="minorHAnsi"/>
          <w:b/>
          <w:bCs/>
          <w:sz w:val="20"/>
          <w:szCs w:val="20"/>
        </w:rPr>
        <w:t>Website</w:t>
      </w:r>
      <w:r w:rsidRPr="006F6388">
        <w:rPr>
          <w:rFonts w:cstheme="minorHAnsi"/>
          <w:sz w:val="20"/>
          <w:szCs w:val="20"/>
        </w:rPr>
        <w:t> </w:t>
      </w:r>
      <w:hyperlink r:id="rId12" w:history="1">
        <w:r w:rsidRPr="006F6388">
          <w:rPr>
            <w:rStyle w:val="Hyperlink"/>
            <w:rFonts w:cstheme="minorHAnsi"/>
            <w:sz w:val="20"/>
            <w:szCs w:val="20"/>
          </w:rPr>
          <w:t>www.bioconbiologics.com</w:t>
        </w:r>
      </w:hyperlink>
      <w:r w:rsidRPr="0030474D">
        <w:rPr>
          <w:rStyle w:val="cf01"/>
          <w:rFonts w:asciiTheme="minorHAnsi" w:hAnsiTheme="minorHAnsi" w:cstheme="minorHAnsi"/>
          <w:sz w:val="20"/>
          <w:szCs w:val="20"/>
        </w:rPr>
        <w:t xml:space="preserve">; Follow us on </w:t>
      </w:r>
      <w:r w:rsidRPr="0030474D">
        <w:rPr>
          <w:rStyle w:val="cf01"/>
          <w:rFonts w:asciiTheme="minorHAnsi" w:hAnsiTheme="minorHAnsi" w:cstheme="minorHAnsi"/>
          <w:b/>
          <w:bCs/>
          <w:sz w:val="20"/>
          <w:szCs w:val="20"/>
        </w:rPr>
        <w:t>X</w:t>
      </w:r>
      <w:r w:rsidRPr="0030474D">
        <w:rPr>
          <w:rStyle w:val="cf01"/>
          <w:rFonts w:asciiTheme="minorHAnsi" w:hAnsiTheme="minorHAnsi" w:cstheme="minorHAnsi"/>
          <w:sz w:val="20"/>
          <w:szCs w:val="20"/>
        </w:rPr>
        <w:t xml:space="preserve"> </w:t>
      </w:r>
      <w:r w:rsidRPr="0030474D">
        <w:rPr>
          <w:rStyle w:val="cf01"/>
          <w:rFonts w:asciiTheme="minorHAnsi" w:hAnsiTheme="minorHAnsi" w:cstheme="minorHAnsi"/>
          <w:i/>
          <w:iCs/>
          <w:sz w:val="20"/>
          <w:szCs w:val="20"/>
        </w:rPr>
        <w:t>(formerly Twitter</w:t>
      </w:r>
      <w:r w:rsidRPr="0030474D">
        <w:rPr>
          <w:rStyle w:val="cf01"/>
          <w:rFonts w:asciiTheme="minorHAnsi" w:hAnsiTheme="minorHAnsi" w:cstheme="minorHAnsi"/>
          <w:sz w:val="20"/>
          <w:szCs w:val="20"/>
        </w:rPr>
        <w:t xml:space="preserve">): </w:t>
      </w:r>
      <w:hyperlink r:id="rId13" w:history="1">
        <w:r w:rsidRPr="006F6388">
          <w:rPr>
            <w:rStyle w:val="Hyperlink"/>
            <w:rFonts w:cstheme="minorHAnsi"/>
            <w:sz w:val="20"/>
            <w:szCs w:val="20"/>
          </w:rPr>
          <w:t>@BioconBiologics</w:t>
        </w:r>
      </w:hyperlink>
      <w:r w:rsidRPr="0030474D">
        <w:rPr>
          <w:rStyle w:val="cf01"/>
          <w:rFonts w:asciiTheme="minorHAnsi" w:hAnsiTheme="minorHAnsi" w:cstheme="minorHAnsi"/>
          <w:sz w:val="20"/>
          <w:szCs w:val="20"/>
        </w:rPr>
        <w:t xml:space="preserve"> and </w:t>
      </w:r>
      <w:r w:rsidRPr="0030474D">
        <w:rPr>
          <w:rStyle w:val="cf01"/>
          <w:rFonts w:asciiTheme="minorHAnsi" w:hAnsiTheme="minorHAnsi" w:cstheme="minorHAnsi"/>
          <w:b/>
          <w:bCs/>
          <w:sz w:val="20"/>
          <w:szCs w:val="20"/>
        </w:rPr>
        <w:t>LinkedIn</w:t>
      </w:r>
      <w:r w:rsidRPr="0030474D">
        <w:rPr>
          <w:rStyle w:val="cf01"/>
          <w:rFonts w:asciiTheme="minorHAnsi" w:hAnsiTheme="minorHAnsi" w:cstheme="minorHAnsi"/>
          <w:sz w:val="20"/>
          <w:szCs w:val="20"/>
        </w:rPr>
        <w:t>: </w:t>
      </w:r>
      <w:hyperlink r:id="rId14" w:history="1">
        <w:r w:rsidRPr="006F6388">
          <w:rPr>
            <w:rStyle w:val="Hyperlink"/>
            <w:rFonts w:cstheme="minorHAnsi"/>
            <w:sz w:val="20"/>
            <w:szCs w:val="20"/>
            <w:shd w:val="clear" w:color="auto" w:fill="FFFFFF"/>
          </w:rPr>
          <w:t>Biocon Biologics</w:t>
        </w:r>
        <w:r w:rsidRPr="006F6388">
          <w:rPr>
            <w:rStyle w:val="Hyperlink"/>
            <w:rFonts w:cstheme="minorHAnsi"/>
            <w:sz w:val="20"/>
            <w:szCs w:val="20"/>
          </w:rPr>
          <w:t> </w:t>
        </w:r>
      </w:hyperlink>
      <w:r w:rsidRPr="0030474D">
        <w:rPr>
          <w:rStyle w:val="cf01"/>
          <w:rFonts w:asciiTheme="minorHAnsi" w:hAnsiTheme="minorHAnsi" w:cstheme="minorHAnsi"/>
          <w:sz w:val="20"/>
          <w:szCs w:val="20"/>
        </w:rPr>
        <w:t>for company updates.</w:t>
      </w:r>
    </w:p>
    <w:bookmarkEnd w:id="3"/>
    <w:p w14:paraId="2B780DB7" w14:textId="77777777" w:rsidR="006F6388" w:rsidRPr="006F6388" w:rsidRDefault="006F6388" w:rsidP="006F6388">
      <w:pPr>
        <w:shd w:val="clear" w:color="auto" w:fill="FFFFFF"/>
        <w:jc w:val="both"/>
        <w:rPr>
          <w:rFonts w:asciiTheme="minorHAnsi" w:hAnsiTheme="minorHAnsi" w:cstheme="minorHAnsi"/>
          <w:color w:val="000000" w:themeColor="text1"/>
          <w:sz w:val="20"/>
          <w:szCs w:val="20"/>
          <w:lang w:val="en-IN"/>
        </w:rPr>
      </w:pPr>
    </w:p>
    <w:p w14:paraId="37B2DEA7" w14:textId="77777777" w:rsidR="006F6388" w:rsidRPr="006F6388" w:rsidRDefault="006F6388" w:rsidP="006F6388">
      <w:pPr>
        <w:shd w:val="clear" w:color="auto" w:fill="FFFFFF" w:themeFill="background1"/>
        <w:jc w:val="both"/>
        <w:rPr>
          <w:rFonts w:asciiTheme="minorHAnsi" w:hAnsiTheme="minorHAnsi" w:cstheme="minorHAnsi"/>
          <w:color w:val="000000" w:themeColor="text1"/>
          <w:sz w:val="20"/>
          <w:szCs w:val="20"/>
        </w:rPr>
      </w:pPr>
      <w:r w:rsidRPr="006F6388">
        <w:rPr>
          <w:rFonts w:asciiTheme="minorHAnsi" w:hAnsiTheme="minorHAnsi" w:cstheme="minorHAnsi"/>
          <w:b/>
          <w:bCs/>
          <w:color w:val="000000" w:themeColor="text1"/>
          <w:sz w:val="20"/>
          <w:szCs w:val="20"/>
        </w:rPr>
        <w:t>Biocon Limited,</w:t>
      </w:r>
      <w:r w:rsidRPr="006F6388">
        <w:rPr>
          <w:rFonts w:asciiTheme="minorHAnsi" w:hAnsiTheme="minorHAnsi" w:cstheme="minorHAnsi"/>
          <w:color w:val="000000" w:themeColor="text1"/>
          <w:sz w:val="20"/>
          <w:szCs w:val="20"/>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641476D8" w14:textId="77777777" w:rsidR="006F6388" w:rsidRPr="006F6388" w:rsidRDefault="006F6388" w:rsidP="006F6388">
      <w:pPr>
        <w:shd w:val="clear" w:color="auto" w:fill="FFFFFF" w:themeFill="background1"/>
        <w:rPr>
          <w:rFonts w:asciiTheme="minorHAnsi" w:hAnsiTheme="minorHAnsi" w:cstheme="minorHAnsi"/>
          <w:color w:val="000000" w:themeColor="text1"/>
          <w:sz w:val="20"/>
          <w:szCs w:val="20"/>
        </w:rPr>
      </w:pPr>
      <w:r w:rsidRPr="006F6388">
        <w:rPr>
          <w:rFonts w:asciiTheme="minorHAnsi" w:hAnsiTheme="minorHAnsi" w:cstheme="minorHAnsi"/>
          <w:b/>
          <w:bCs/>
          <w:color w:val="000000" w:themeColor="text1"/>
          <w:sz w:val="20"/>
          <w:szCs w:val="20"/>
        </w:rPr>
        <w:t>Website:</w:t>
      </w:r>
      <w:r w:rsidRPr="006F6388">
        <w:rPr>
          <w:rFonts w:asciiTheme="minorHAnsi" w:hAnsiTheme="minorHAnsi" w:cstheme="minorHAnsi"/>
          <w:color w:val="000000" w:themeColor="text1"/>
          <w:sz w:val="20"/>
          <w:szCs w:val="20"/>
        </w:rPr>
        <w:t xml:space="preserve"> </w:t>
      </w:r>
      <w:hyperlink r:id="rId15" w:history="1">
        <w:r w:rsidRPr="006F6388">
          <w:rPr>
            <w:rStyle w:val="Hyperlink"/>
            <w:rFonts w:asciiTheme="minorHAnsi" w:hAnsiTheme="minorHAnsi" w:cstheme="minorHAnsi"/>
            <w:sz w:val="20"/>
            <w:szCs w:val="20"/>
          </w:rPr>
          <w:t>www.biocon.com</w:t>
        </w:r>
      </w:hyperlink>
      <w:r w:rsidRPr="006F6388">
        <w:rPr>
          <w:rFonts w:asciiTheme="minorHAnsi" w:hAnsiTheme="minorHAnsi" w:cstheme="minorHAnsi"/>
          <w:color w:val="000000" w:themeColor="text1"/>
          <w:sz w:val="20"/>
          <w:szCs w:val="20"/>
        </w:rPr>
        <w:t xml:space="preserve">; Follow-us on </w:t>
      </w:r>
      <w:r w:rsidRPr="006F6388">
        <w:rPr>
          <w:rStyle w:val="cf01"/>
          <w:rFonts w:asciiTheme="minorHAnsi" w:hAnsiTheme="minorHAnsi" w:cstheme="minorHAnsi"/>
          <w:b/>
          <w:bCs/>
          <w:sz w:val="20"/>
          <w:szCs w:val="20"/>
        </w:rPr>
        <w:t>X</w:t>
      </w:r>
      <w:r w:rsidRPr="006F6388">
        <w:rPr>
          <w:rStyle w:val="cf01"/>
          <w:rFonts w:asciiTheme="minorHAnsi" w:hAnsiTheme="minorHAnsi" w:cstheme="minorHAnsi"/>
          <w:sz w:val="20"/>
          <w:szCs w:val="20"/>
        </w:rPr>
        <w:t xml:space="preserve"> </w:t>
      </w:r>
      <w:r w:rsidRPr="006F6388">
        <w:rPr>
          <w:rStyle w:val="cf01"/>
          <w:rFonts w:asciiTheme="minorHAnsi" w:hAnsiTheme="minorHAnsi" w:cstheme="minorHAnsi"/>
          <w:i/>
          <w:iCs/>
          <w:sz w:val="20"/>
          <w:szCs w:val="20"/>
        </w:rPr>
        <w:t>(formerly Twitter</w:t>
      </w:r>
      <w:r w:rsidRPr="006F6388">
        <w:rPr>
          <w:rStyle w:val="cf01"/>
          <w:rFonts w:asciiTheme="minorHAnsi" w:hAnsiTheme="minorHAnsi" w:cstheme="minorHAnsi"/>
          <w:sz w:val="20"/>
          <w:szCs w:val="20"/>
        </w:rPr>
        <w:t>)</w:t>
      </w:r>
      <w:r w:rsidRPr="006F6388">
        <w:rPr>
          <w:rFonts w:asciiTheme="minorHAnsi" w:hAnsiTheme="minorHAnsi" w:cstheme="minorHAnsi"/>
          <w:color w:val="000000" w:themeColor="text1"/>
          <w:sz w:val="20"/>
          <w:szCs w:val="20"/>
        </w:rPr>
        <w:t xml:space="preserve"> </w:t>
      </w:r>
      <w:hyperlink r:id="rId16" w:history="1">
        <w:r w:rsidRPr="006F6388">
          <w:rPr>
            <w:rStyle w:val="Hyperlink"/>
            <w:rFonts w:asciiTheme="minorHAnsi" w:hAnsiTheme="minorHAnsi" w:cstheme="minorHAnsi"/>
            <w:sz w:val="20"/>
            <w:szCs w:val="20"/>
          </w:rPr>
          <w:t>@bioconlimited</w:t>
        </w:r>
      </w:hyperlink>
      <w:r w:rsidRPr="006F6388">
        <w:rPr>
          <w:rFonts w:asciiTheme="minorHAnsi" w:hAnsiTheme="minorHAnsi" w:cstheme="minorHAnsi"/>
          <w:color w:val="000000" w:themeColor="text1"/>
          <w:sz w:val="20"/>
          <w:szCs w:val="20"/>
        </w:rPr>
        <w:t xml:space="preserve"> and </w:t>
      </w:r>
      <w:r w:rsidRPr="006F6388">
        <w:rPr>
          <w:rFonts w:asciiTheme="minorHAnsi" w:hAnsiTheme="minorHAnsi" w:cstheme="minorHAnsi"/>
          <w:b/>
          <w:bCs/>
          <w:color w:val="000000" w:themeColor="text1"/>
          <w:sz w:val="20"/>
          <w:szCs w:val="20"/>
        </w:rPr>
        <w:t>LinkedIn</w:t>
      </w:r>
      <w:r w:rsidRPr="006F6388">
        <w:rPr>
          <w:rFonts w:asciiTheme="minorHAnsi" w:hAnsiTheme="minorHAnsi" w:cstheme="minorHAnsi"/>
          <w:color w:val="000000" w:themeColor="text1"/>
          <w:sz w:val="20"/>
          <w:szCs w:val="20"/>
        </w:rPr>
        <w:t xml:space="preserve">: </w:t>
      </w:r>
      <w:hyperlink r:id="rId17" w:history="1">
        <w:r w:rsidRPr="006F6388">
          <w:rPr>
            <w:rStyle w:val="Hyperlink"/>
            <w:rFonts w:asciiTheme="minorHAnsi" w:hAnsiTheme="minorHAnsi" w:cstheme="minorHAnsi"/>
            <w:sz w:val="20"/>
            <w:szCs w:val="20"/>
          </w:rPr>
          <w:t>Biocon</w:t>
        </w:r>
      </w:hyperlink>
      <w:r w:rsidRPr="006F6388">
        <w:rPr>
          <w:rFonts w:asciiTheme="minorHAnsi" w:hAnsiTheme="minorHAnsi" w:cstheme="minorHAnsi"/>
          <w:color w:val="000000" w:themeColor="text1"/>
          <w:sz w:val="20"/>
          <w:szCs w:val="20"/>
        </w:rPr>
        <w:t xml:space="preserve"> for company updates.</w:t>
      </w:r>
    </w:p>
    <w:p w14:paraId="6CB1A0CF" w14:textId="77777777" w:rsidR="00A05B91" w:rsidRPr="003F44CD" w:rsidRDefault="00A05B91" w:rsidP="00A05B91">
      <w:pPr>
        <w:shd w:val="clear" w:color="auto" w:fill="FFFFFF" w:themeFill="background1"/>
        <w:jc w:val="both"/>
        <w:rPr>
          <w:rFonts w:asciiTheme="minorHAnsi" w:hAnsiTheme="minorHAnsi" w:cs="Calibri"/>
          <w:i/>
          <w:iCs/>
          <w:color w:val="333333"/>
        </w:rPr>
      </w:pPr>
    </w:p>
    <w:p w14:paraId="0642744E" w14:textId="77777777" w:rsidR="001617AE" w:rsidRDefault="001617AE" w:rsidP="00A05B91">
      <w:pPr>
        <w:jc w:val="both"/>
        <w:rPr>
          <w:rFonts w:asciiTheme="minorHAnsi" w:hAnsiTheme="minorHAnsi" w:cs="Calibri"/>
          <w:b/>
          <w:bCs/>
          <w:color w:val="333333"/>
        </w:rPr>
      </w:pPr>
    </w:p>
    <w:p w14:paraId="75731EA8" w14:textId="5657ED96" w:rsidR="00A05B91" w:rsidRPr="003F44CD" w:rsidRDefault="00A05B91" w:rsidP="00A05B91">
      <w:pPr>
        <w:jc w:val="both"/>
        <w:rPr>
          <w:rFonts w:asciiTheme="minorHAnsi" w:hAnsiTheme="minorHAnsi" w:cs="Calibri"/>
          <w:b/>
          <w:bCs/>
          <w:color w:val="333333"/>
        </w:rPr>
      </w:pPr>
      <w:r w:rsidRPr="003F44CD">
        <w:rPr>
          <w:rFonts w:asciiTheme="minorHAnsi" w:hAnsiTheme="minorHAnsi" w:cs="Calibri"/>
          <w:b/>
          <w:bCs/>
          <w:color w:val="333333"/>
        </w:rPr>
        <w:lastRenderedPageBreak/>
        <w:t>Forward-Looking Statements: Biocon</w:t>
      </w:r>
    </w:p>
    <w:p w14:paraId="5C6BFDCD" w14:textId="77777777" w:rsidR="00A05B91" w:rsidRPr="003F44CD" w:rsidRDefault="00A05B91" w:rsidP="00A05B91">
      <w:pPr>
        <w:jc w:val="both"/>
        <w:rPr>
          <w:rFonts w:asciiTheme="minorHAnsi" w:hAnsiTheme="minorHAnsi" w:cs="Calibri"/>
          <w:i/>
          <w:iCs/>
          <w:color w:val="333333"/>
          <w:sz w:val="19"/>
          <w:szCs w:val="19"/>
        </w:rPr>
      </w:pPr>
      <w:r w:rsidRPr="003F44CD">
        <w:rPr>
          <w:rFonts w:asciiTheme="minorHAnsi" w:hAnsiTheme="minorHAnsi" w:cs="Calibri"/>
          <w:i/>
          <w:iCs/>
          <w:color w:val="333333"/>
          <w:sz w:val="19"/>
          <w:szCs w:val="19"/>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conditions in India and changes in the foreign exchange control regulations in India. Neither Biocon, nor our Directors, </w:t>
      </w:r>
      <w:proofErr w:type="gramStart"/>
      <w:r w:rsidRPr="003F44CD">
        <w:rPr>
          <w:rFonts w:asciiTheme="minorHAnsi" w:hAnsiTheme="minorHAnsi" w:cs="Calibri"/>
          <w:i/>
          <w:iCs/>
          <w:color w:val="333333"/>
          <w:sz w:val="19"/>
          <w:szCs w:val="19"/>
        </w:rPr>
        <w:t>or</w:t>
      </w:r>
      <w:proofErr w:type="gramEnd"/>
      <w:r w:rsidRPr="003F44CD">
        <w:rPr>
          <w:rFonts w:asciiTheme="minorHAnsi" w:hAnsiTheme="minorHAnsi" w:cs="Calibri"/>
          <w:i/>
          <w:iCs/>
          <w:color w:val="333333"/>
          <w:sz w:val="19"/>
          <w:szCs w:val="19"/>
        </w:rPr>
        <w:t xml:space="preserve"> any of our subsidiaries/associates assume any obligation to update any </w:t>
      </w:r>
      <w:proofErr w:type="gramStart"/>
      <w:r w:rsidRPr="003F44CD">
        <w:rPr>
          <w:rFonts w:asciiTheme="minorHAnsi" w:hAnsiTheme="minorHAnsi" w:cs="Calibri"/>
          <w:i/>
          <w:iCs/>
          <w:color w:val="333333"/>
          <w:sz w:val="19"/>
          <w:szCs w:val="19"/>
        </w:rPr>
        <w:t>particular forward-looking</w:t>
      </w:r>
      <w:proofErr w:type="gramEnd"/>
      <w:r w:rsidRPr="003F44CD">
        <w:rPr>
          <w:rFonts w:asciiTheme="minorHAnsi" w:hAnsiTheme="minorHAnsi" w:cs="Calibri"/>
          <w:i/>
          <w:iCs/>
          <w:color w:val="333333"/>
          <w:sz w:val="19"/>
          <w:szCs w:val="19"/>
        </w:rPr>
        <w:t xml:space="preserve"> statement contained in this release.</w:t>
      </w:r>
    </w:p>
    <w:p w14:paraId="35F49B88" w14:textId="77777777" w:rsidR="00A05B91" w:rsidRDefault="00A05B91" w:rsidP="00A05B91">
      <w:pPr>
        <w:rPr>
          <w:rFonts w:asciiTheme="minorHAnsi" w:hAnsiTheme="minorHAnsi" w:cstheme="minorHAnsi"/>
        </w:rPr>
      </w:pPr>
    </w:p>
    <w:p w14:paraId="03FF8621" w14:textId="77777777" w:rsidR="00A05B91" w:rsidRPr="003F44CD" w:rsidRDefault="00A05B91" w:rsidP="00A05B91">
      <w:pPr>
        <w:jc w:val="both"/>
        <w:rPr>
          <w:rFonts w:asciiTheme="minorHAnsi" w:hAnsiTheme="minorHAnsi" w:cs="Calibri"/>
        </w:rPr>
      </w:pPr>
    </w:p>
    <w:tbl>
      <w:tblPr>
        <w:tblW w:w="0" w:type="auto"/>
        <w:tblCellMar>
          <w:left w:w="0" w:type="dxa"/>
          <w:right w:w="0" w:type="dxa"/>
        </w:tblCellMar>
        <w:tblLook w:val="04A0" w:firstRow="1" w:lastRow="0" w:firstColumn="1" w:lastColumn="0" w:noHBand="0" w:noVBand="1"/>
      </w:tblPr>
      <w:tblGrid>
        <w:gridCol w:w="4692"/>
        <w:gridCol w:w="4693"/>
      </w:tblGrid>
      <w:tr w:rsidR="00A05B91" w:rsidRPr="003F44CD" w14:paraId="5168DB5A" w14:textId="77777777" w:rsidTr="009F42D5">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94BAB" w14:textId="77777777" w:rsidR="00A05B91" w:rsidRPr="00016279" w:rsidRDefault="00A05B91" w:rsidP="009F42D5">
            <w:pPr>
              <w:jc w:val="both"/>
              <w:rPr>
                <w:rFonts w:asciiTheme="minorHAnsi" w:hAnsiTheme="minorHAnsi" w:cs="Calibri"/>
                <w:i/>
                <w:iCs/>
                <w:sz w:val="20"/>
                <w:szCs w:val="20"/>
              </w:rPr>
            </w:pPr>
            <w:r w:rsidRPr="00016279">
              <w:rPr>
                <w:rFonts w:asciiTheme="minorHAnsi" w:hAnsiTheme="minorHAnsi" w:cs="Calibri"/>
                <w:b/>
                <w:bCs/>
                <w:sz w:val="20"/>
                <w:szCs w:val="20"/>
              </w:rPr>
              <w:t>For More Information: Biocon Biologics</w:t>
            </w:r>
          </w:p>
        </w:tc>
      </w:tr>
      <w:tr w:rsidR="00A05B91" w:rsidRPr="003F44CD" w14:paraId="7EDBA941" w14:textId="77777777" w:rsidTr="009F42D5">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3EBD4" w14:textId="77777777" w:rsidR="00A05B91" w:rsidRPr="00016279" w:rsidRDefault="00A05B91" w:rsidP="009F42D5">
            <w:pPr>
              <w:jc w:val="both"/>
              <w:rPr>
                <w:rFonts w:asciiTheme="minorHAnsi" w:hAnsiTheme="minorHAnsi" w:cs="Calibri"/>
                <w:b/>
                <w:bCs/>
                <w:sz w:val="20"/>
                <w:szCs w:val="20"/>
              </w:rPr>
            </w:pPr>
            <w:r w:rsidRPr="00016279">
              <w:rPr>
                <w:rFonts w:asciiTheme="minorHAnsi" w:hAnsiTheme="minorHAnsi" w:cs="Calibri"/>
                <w:b/>
                <w:bCs/>
                <w:sz w:val="20"/>
                <w:szCs w:val="20"/>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176AFF95" w14:textId="77777777" w:rsidR="00A05B91" w:rsidRPr="00016279" w:rsidRDefault="00A05B91" w:rsidP="009F42D5">
            <w:pPr>
              <w:jc w:val="both"/>
              <w:rPr>
                <w:rFonts w:asciiTheme="minorHAnsi" w:hAnsiTheme="minorHAnsi" w:cs="Calibri"/>
                <w:i/>
                <w:iCs/>
                <w:sz w:val="20"/>
                <w:szCs w:val="20"/>
              </w:rPr>
            </w:pPr>
            <w:r w:rsidRPr="00016279">
              <w:rPr>
                <w:rFonts w:asciiTheme="minorHAnsi" w:hAnsiTheme="minorHAnsi" w:cs="Calibri"/>
                <w:b/>
                <w:bCs/>
                <w:sz w:val="20"/>
                <w:szCs w:val="20"/>
              </w:rPr>
              <w:t xml:space="preserve">INVESTORS </w:t>
            </w:r>
          </w:p>
        </w:tc>
      </w:tr>
      <w:tr w:rsidR="00A05B91" w:rsidRPr="003F44CD" w14:paraId="27029A68" w14:textId="77777777" w:rsidTr="009F42D5">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9104F" w14:textId="77777777" w:rsidR="00A05B91" w:rsidRPr="003F44CD" w:rsidRDefault="00A05B91" w:rsidP="009F42D5">
            <w:pPr>
              <w:pStyle w:val="NoSpacing"/>
              <w:rPr>
                <w:rFonts w:cs="Calibri"/>
                <w:b/>
                <w:bCs/>
                <w:sz w:val="20"/>
                <w:szCs w:val="20"/>
              </w:rPr>
            </w:pPr>
            <w:r w:rsidRPr="003F44CD">
              <w:rPr>
                <w:rFonts w:cs="Calibri"/>
                <w:b/>
                <w:bCs/>
                <w:sz w:val="20"/>
                <w:szCs w:val="20"/>
              </w:rPr>
              <w:t>Seema Ahuja</w:t>
            </w:r>
          </w:p>
          <w:p w14:paraId="2CF37D8B" w14:textId="77777777" w:rsidR="00A05B91" w:rsidRPr="003F44CD" w:rsidRDefault="00A05B91" w:rsidP="009F42D5">
            <w:pPr>
              <w:pStyle w:val="NoSpacing"/>
              <w:rPr>
                <w:rFonts w:cs="Calibri"/>
                <w:sz w:val="20"/>
                <w:szCs w:val="20"/>
              </w:rPr>
            </w:pPr>
            <w:r w:rsidRPr="003F44CD">
              <w:rPr>
                <w:rFonts w:cs="Calibri"/>
                <w:sz w:val="20"/>
                <w:szCs w:val="20"/>
              </w:rPr>
              <w:t xml:space="preserve">Global Head of Corporate Brand &amp; </w:t>
            </w:r>
          </w:p>
          <w:p w14:paraId="142404FB" w14:textId="77777777" w:rsidR="00A05B91" w:rsidRPr="003F44CD" w:rsidRDefault="00A05B91" w:rsidP="009F42D5">
            <w:pPr>
              <w:pStyle w:val="NoSpacing"/>
              <w:rPr>
                <w:rFonts w:cs="Calibri"/>
                <w:sz w:val="20"/>
                <w:szCs w:val="20"/>
              </w:rPr>
            </w:pPr>
            <w:r w:rsidRPr="003F44CD">
              <w:rPr>
                <w:rFonts w:cs="Calibri"/>
                <w:sz w:val="20"/>
                <w:szCs w:val="20"/>
              </w:rPr>
              <w:t xml:space="preserve">Head of Communications – Emerging Markets </w:t>
            </w:r>
          </w:p>
          <w:p w14:paraId="44DFCF99" w14:textId="77777777" w:rsidR="00A05B91" w:rsidRPr="003F44CD" w:rsidRDefault="00A05B91" w:rsidP="009F42D5">
            <w:pPr>
              <w:pStyle w:val="NoSpacing"/>
              <w:rPr>
                <w:rFonts w:cs="Calibri"/>
                <w:sz w:val="20"/>
                <w:szCs w:val="20"/>
              </w:rPr>
            </w:pPr>
            <w:r w:rsidRPr="003F44CD">
              <w:rPr>
                <w:rFonts w:cs="Calibri"/>
                <w:sz w:val="20"/>
                <w:szCs w:val="20"/>
              </w:rPr>
              <w:t>+91 99723 17792</w:t>
            </w:r>
          </w:p>
          <w:p w14:paraId="592C062F" w14:textId="77777777" w:rsidR="00A05B91" w:rsidRPr="00016279" w:rsidRDefault="00A05B91" w:rsidP="009F42D5">
            <w:pPr>
              <w:pStyle w:val="NoSpacing"/>
              <w:rPr>
                <w:rStyle w:val="Hyperlink"/>
                <w:rFonts w:cs="Calibri"/>
                <w:sz w:val="20"/>
                <w:szCs w:val="20"/>
              </w:rPr>
            </w:pPr>
            <w:hyperlink r:id="rId18" w:history="1">
              <w:r w:rsidRPr="003F44CD">
                <w:rPr>
                  <w:rStyle w:val="Hyperlink"/>
                  <w:rFonts w:cs="Calibri"/>
                  <w:sz w:val="20"/>
                  <w:szCs w:val="20"/>
                  <w:bdr w:val="none" w:sz="0" w:space="0" w:color="auto" w:frame="1"/>
                </w:rPr>
                <w:t>seema.ahuja@biocon.com</w:t>
              </w:r>
            </w:hyperlink>
            <w:r w:rsidRPr="00016279">
              <w:rPr>
                <w:rStyle w:val="Hyperlink"/>
                <w:rFonts w:cs="Calibri"/>
                <w:sz w:val="20"/>
                <w:szCs w:val="20"/>
              </w:rPr>
              <w:t xml:space="preserve">   </w:t>
            </w:r>
          </w:p>
          <w:p w14:paraId="08F61E9B" w14:textId="77777777" w:rsidR="00A05B91" w:rsidRPr="00016279" w:rsidRDefault="00A05B91" w:rsidP="009F42D5">
            <w:pPr>
              <w:pStyle w:val="NoSpacing"/>
              <w:rPr>
                <w:rStyle w:val="Hyperlink"/>
                <w:rFonts w:cs="Calibri"/>
                <w:sz w:val="20"/>
                <w:szCs w:val="20"/>
              </w:rPr>
            </w:pPr>
          </w:p>
          <w:p w14:paraId="6500D881" w14:textId="77777777" w:rsidR="00A05B91" w:rsidRPr="003F44CD" w:rsidRDefault="00A05B91" w:rsidP="009F42D5">
            <w:pPr>
              <w:pStyle w:val="NoSpacing"/>
              <w:rPr>
                <w:rFonts w:cs="Calibri"/>
                <w:b/>
                <w:bCs/>
                <w:sz w:val="20"/>
                <w:szCs w:val="20"/>
              </w:rPr>
            </w:pPr>
            <w:r w:rsidRPr="003F44CD">
              <w:rPr>
                <w:rFonts w:cs="Calibri"/>
                <w:b/>
                <w:bCs/>
                <w:sz w:val="20"/>
                <w:szCs w:val="20"/>
              </w:rPr>
              <w:t>Lance Longwell</w:t>
            </w:r>
          </w:p>
          <w:p w14:paraId="6C7EAF8B" w14:textId="77777777" w:rsidR="00A05B91" w:rsidRPr="003F44CD" w:rsidRDefault="00A05B91" w:rsidP="009F42D5">
            <w:pPr>
              <w:pStyle w:val="NoSpacing"/>
              <w:rPr>
                <w:rFonts w:cs="Calibri"/>
                <w:sz w:val="20"/>
                <w:szCs w:val="20"/>
              </w:rPr>
            </w:pPr>
            <w:r w:rsidRPr="003F44CD">
              <w:rPr>
                <w:rFonts w:cs="Calibri"/>
                <w:sz w:val="20"/>
                <w:szCs w:val="20"/>
              </w:rPr>
              <w:t xml:space="preserve">Public Relations Lead – Advanced Markets </w:t>
            </w:r>
          </w:p>
          <w:p w14:paraId="532149CD" w14:textId="77777777" w:rsidR="00A05B91" w:rsidRPr="003F44CD" w:rsidRDefault="00A05B91" w:rsidP="009F42D5">
            <w:pPr>
              <w:pStyle w:val="NoSpacing"/>
              <w:rPr>
                <w:rFonts w:cs="Calibri"/>
                <w:sz w:val="20"/>
                <w:szCs w:val="20"/>
              </w:rPr>
            </w:pPr>
            <w:r w:rsidRPr="003F44CD">
              <w:rPr>
                <w:rFonts w:cs="Calibri"/>
                <w:sz w:val="20"/>
                <w:szCs w:val="20"/>
              </w:rPr>
              <w:t>+1 857 270 4391</w:t>
            </w:r>
          </w:p>
          <w:p w14:paraId="3F19234D" w14:textId="77777777" w:rsidR="00A05B91" w:rsidRPr="00016279" w:rsidRDefault="00A05B91" w:rsidP="009F42D5">
            <w:pPr>
              <w:pStyle w:val="NoSpacing"/>
              <w:rPr>
                <w:rFonts w:cs="Calibri"/>
                <w:i/>
                <w:iCs/>
                <w:sz w:val="20"/>
                <w:szCs w:val="20"/>
              </w:rPr>
            </w:pPr>
            <w:hyperlink r:id="rId19" w:history="1">
              <w:r w:rsidRPr="003F44CD">
                <w:rPr>
                  <w:rStyle w:val="Hyperlink"/>
                  <w:rFonts w:cs="Calibri"/>
                  <w:sz w:val="20"/>
                  <w:szCs w:val="20"/>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426C150B" w14:textId="77777777" w:rsidR="00A05B91" w:rsidRPr="003F44CD" w:rsidRDefault="00A05B91" w:rsidP="009F42D5">
            <w:pPr>
              <w:pStyle w:val="NoSpacing"/>
              <w:rPr>
                <w:rFonts w:cs="Calibri"/>
                <w:b/>
                <w:bCs/>
                <w:sz w:val="20"/>
                <w:szCs w:val="20"/>
              </w:rPr>
            </w:pPr>
            <w:r w:rsidRPr="003F44CD">
              <w:rPr>
                <w:rFonts w:cs="Calibri"/>
                <w:b/>
                <w:bCs/>
                <w:sz w:val="20"/>
                <w:szCs w:val="20"/>
              </w:rPr>
              <w:t>Saurabh Paliwal</w:t>
            </w:r>
          </w:p>
          <w:p w14:paraId="47701931" w14:textId="77777777" w:rsidR="00A05B91" w:rsidRPr="003F44CD" w:rsidRDefault="00A05B91" w:rsidP="009F42D5">
            <w:pPr>
              <w:pStyle w:val="NoSpacing"/>
              <w:rPr>
                <w:rFonts w:cs="Calibri"/>
                <w:sz w:val="20"/>
                <w:szCs w:val="20"/>
              </w:rPr>
            </w:pPr>
            <w:r w:rsidRPr="003F44CD">
              <w:rPr>
                <w:rFonts w:cs="Calibri"/>
                <w:sz w:val="20"/>
                <w:szCs w:val="20"/>
              </w:rPr>
              <w:t>Head - Investor Relations</w:t>
            </w:r>
          </w:p>
          <w:p w14:paraId="3283509B" w14:textId="77777777" w:rsidR="00A05B91" w:rsidRPr="003F44CD" w:rsidRDefault="00A05B91" w:rsidP="009F42D5">
            <w:pPr>
              <w:pStyle w:val="NoSpacing"/>
              <w:rPr>
                <w:rFonts w:cs="Calibri"/>
                <w:sz w:val="20"/>
                <w:szCs w:val="20"/>
              </w:rPr>
            </w:pPr>
            <w:r w:rsidRPr="003F44CD">
              <w:rPr>
                <w:rFonts w:cs="Calibri"/>
                <w:sz w:val="20"/>
                <w:szCs w:val="20"/>
              </w:rPr>
              <w:t>Biocon</w:t>
            </w:r>
          </w:p>
          <w:p w14:paraId="72B8220C" w14:textId="77777777" w:rsidR="00A05B91" w:rsidRPr="003F44CD" w:rsidRDefault="00A05B91" w:rsidP="009F42D5">
            <w:pPr>
              <w:pStyle w:val="NoSpacing"/>
              <w:rPr>
                <w:rFonts w:cs="Calibri"/>
                <w:sz w:val="20"/>
                <w:szCs w:val="20"/>
              </w:rPr>
            </w:pPr>
          </w:p>
          <w:p w14:paraId="1CFF1B1A" w14:textId="77777777" w:rsidR="00A05B91" w:rsidRPr="003F44CD" w:rsidRDefault="00A05B91" w:rsidP="009F42D5">
            <w:pPr>
              <w:pStyle w:val="NoSpacing"/>
              <w:rPr>
                <w:rFonts w:cs="Calibri"/>
                <w:color w:val="000000"/>
                <w:sz w:val="20"/>
                <w:szCs w:val="20"/>
                <w:bdr w:val="none" w:sz="0" w:space="0" w:color="auto" w:frame="1"/>
              </w:rPr>
            </w:pPr>
            <w:r w:rsidRPr="003F44CD">
              <w:rPr>
                <w:rFonts w:cs="Calibri"/>
                <w:color w:val="000000"/>
                <w:sz w:val="20"/>
                <w:szCs w:val="20"/>
                <w:bdr w:val="none" w:sz="0" w:space="0" w:color="auto" w:frame="1"/>
              </w:rPr>
              <w:t>+91 95383 80801</w:t>
            </w:r>
          </w:p>
          <w:p w14:paraId="01BF67ED" w14:textId="77777777" w:rsidR="00A05B91" w:rsidRPr="00016279" w:rsidRDefault="00A05B91" w:rsidP="009F42D5">
            <w:pPr>
              <w:jc w:val="both"/>
              <w:rPr>
                <w:rFonts w:asciiTheme="minorHAnsi" w:hAnsiTheme="minorHAnsi" w:cs="Calibri"/>
                <w:sz w:val="20"/>
                <w:szCs w:val="20"/>
              </w:rPr>
            </w:pPr>
            <w:hyperlink r:id="rId20" w:history="1">
              <w:r w:rsidRPr="00016279">
                <w:rPr>
                  <w:rStyle w:val="Hyperlink"/>
                  <w:rFonts w:asciiTheme="minorHAnsi" w:hAnsiTheme="minorHAnsi" w:cs="Calibri"/>
                  <w:sz w:val="20"/>
                  <w:szCs w:val="20"/>
                </w:rPr>
                <w:t>saurabh.paliwal@biocon.com</w:t>
              </w:r>
            </w:hyperlink>
          </w:p>
        </w:tc>
      </w:tr>
    </w:tbl>
    <w:p w14:paraId="29EA612D" w14:textId="77777777" w:rsidR="00A05B91" w:rsidRDefault="00A05B91" w:rsidP="00A05B91">
      <w:pPr>
        <w:spacing w:before="120" w:after="120"/>
        <w:ind w:right="227"/>
        <w:jc w:val="both"/>
      </w:pPr>
    </w:p>
    <w:p w14:paraId="1F9EBA37" w14:textId="77777777" w:rsidR="00A05B91" w:rsidRDefault="00A05B91" w:rsidP="00A05B91"/>
    <w:p w14:paraId="5A95D4D5" w14:textId="77777777" w:rsidR="002F5580" w:rsidRPr="0001054C" w:rsidRDefault="002F5580" w:rsidP="0001054C"/>
    <w:sectPr w:rsidR="002F5580" w:rsidRPr="0001054C" w:rsidSect="00BB7222">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9A17" w14:textId="77777777" w:rsidR="005468B5" w:rsidRDefault="005468B5">
      <w:r>
        <w:separator/>
      </w:r>
    </w:p>
  </w:endnote>
  <w:endnote w:type="continuationSeparator" w:id="0">
    <w:p w14:paraId="3C5D9162" w14:textId="77777777" w:rsidR="005468B5" w:rsidRDefault="0054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AB11" w14:textId="77777777" w:rsidR="00634E6C" w:rsidRDefault="0063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FD" w14:textId="77777777" w:rsidR="00320B13" w:rsidRDefault="00B02A31">
    <w:pPr>
      <w:pStyle w:val="Footer"/>
      <w:jc w:val="center"/>
    </w:pPr>
    <w:sdt>
      <w:sdtPr>
        <w:id w:val="1006165658"/>
        <w:docPartObj>
          <w:docPartGallery w:val="Page Numbers (Bottom of Page)"/>
          <w:docPartUnique/>
        </w:docPartObj>
      </w:sdtPr>
      <w:sdtEndPr>
        <w:rPr>
          <w:noProof/>
        </w:rPr>
      </w:sdtEndPr>
      <w:sdtContent>
        <w:r w:rsidR="00801087">
          <w:fldChar w:fldCharType="begin"/>
        </w:r>
        <w:r w:rsidR="00801087">
          <w:instrText xml:space="preserve"> PAGE   \* MERGEFORMAT </w:instrText>
        </w:r>
        <w:r w:rsidR="00801087">
          <w:fldChar w:fldCharType="separate"/>
        </w:r>
        <w:r w:rsidR="00801087">
          <w:rPr>
            <w:noProof/>
          </w:rPr>
          <w:t>8</w:t>
        </w:r>
        <w:r w:rsidR="00801087">
          <w:rPr>
            <w:noProof/>
          </w:rPr>
          <w:fldChar w:fldCharType="end"/>
        </w:r>
      </w:sdtContent>
    </w:sdt>
  </w:p>
  <w:p w14:paraId="662EF3DA" w14:textId="77777777" w:rsidR="00320B13" w:rsidRDefault="0032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2C70" w14:textId="77777777" w:rsidR="00634E6C" w:rsidRDefault="0063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A1EE" w14:textId="77777777" w:rsidR="005468B5" w:rsidRDefault="005468B5">
      <w:r>
        <w:separator/>
      </w:r>
    </w:p>
  </w:footnote>
  <w:footnote w:type="continuationSeparator" w:id="0">
    <w:p w14:paraId="7FD40456" w14:textId="77777777" w:rsidR="005468B5" w:rsidRDefault="0054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68DC" w14:textId="77777777" w:rsidR="00634E6C" w:rsidRDefault="0063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C58" w14:textId="60E141E2" w:rsidR="00320B13" w:rsidRDefault="00801087" w:rsidP="00933AB5">
    <w:pPr>
      <w:pStyle w:val="Header"/>
    </w:pPr>
    <w:r>
      <w:rPr>
        <w:noProof/>
        <w:lang w:eastAsia="en-IN"/>
      </w:rPr>
      <w:drawing>
        <wp:inline distT="0" distB="0" distL="0" distR="0" wp14:anchorId="6F65323F" wp14:editId="18459373">
          <wp:extent cx="995991" cy="373380"/>
          <wp:effectExtent l="0" t="0" r="0" b="762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pic:blipFill>
                <pic:spPr>
                  <a:xfrm>
                    <a:off x="0" y="0"/>
                    <a:ext cx="1020812" cy="382685"/>
                  </a:xfrm>
                  <a:prstGeom prst="rect">
                    <a:avLst/>
                  </a:prstGeom>
                  <a:ln>
                    <a:noFill/>
                  </a:ln>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4036604B" wp14:editId="0118FBF6">
          <wp:extent cx="1536700" cy="333774"/>
          <wp:effectExtent l="0" t="0" r="6350" b="9525"/>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445B2236" w14:textId="77777777" w:rsidR="00320B13" w:rsidRDefault="00320B13">
    <w:pPr>
      <w:pStyle w:val="Header"/>
    </w:pPr>
  </w:p>
  <w:p w14:paraId="773C4E13" w14:textId="77777777" w:rsidR="00320B13" w:rsidRDefault="00320B13" w:rsidP="00FA1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8D0" w14:textId="77777777" w:rsidR="00634E6C" w:rsidRDefault="0063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054DB"/>
    <w:multiLevelType w:val="hybridMultilevel"/>
    <w:tmpl w:val="5BA4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16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9"/>
    <w:rsid w:val="0000372F"/>
    <w:rsid w:val="00004EFB"/>
    <w:rsid w:val="0001054C"/>
    <w:rsid w:val="00016DF4"/>
    <w:rsid w:val="000216CA"/>
    <w:rsid w:val="00023BB4"/>
    <w:rsid w:val="00023F44"/>
    <w:rsid w:val="00026AEF"/>
    <w:rsid w:val="00030B09"/>
    <w:rsid w:val="00033119"/>
    <w:rsid w:val="00036ECB"/>
    <w:rsid w:val="00037999"/>
    <w:rsid w:val="00045D6A"/>
    <w:rsid w:val="00051540"/>
    <w:rsid w:val="0006016F"/>
    <w:rsid w:val="000639B6"/>
    <w:rsid w:val="00066A30"/>
    <w:rsid w:val="00071484"/>
    <w:rsid w:val="00074832"/>
    <w:rsid w:val="0007779F"/>
    <w:rsid w:val="000836C1"/>
    <w:rsid w:val="00085B2C"/>
    <w:rsid w:val="000930B6"/>
    <w:rsid w:val="00096BD3"/>
    <w:rsid w:val="000A1B86"/>
    <w:rsid w:val="000A2AAC"/>
    <w:rsid w:val="000B272D"/>
    <w:rsid w:val="000C3525"/>
    <w:rsid w:val="000C4E49"/>
    <w:rsid w:val="000C6834"/>
    <w:rsid w:val="000E30AC"/>
    <w:rsid w:val="000E3C74"/>
    <w:rsid w:val="000F2B9A"/>
    <w:rsid w:val="000F4380"/>
    <w:rsid w:val="00103AFE"/>
    <w:rsid w:val="001043F2"/>
    <w:rsid w:val="001046BF"/>
    <w:rsid w:val="00104E7C"/>
    <w:rsid w:val="00105407"/>
    <w:rsid w:val="0010658F"/>
    <w:rsid w:val="001068AD"/>
    <w:rsid w:val="00120B37"/>
    <w:rsid w:val="00123702"/>
    <w:rsid w:val="001339B9"/>
    <w:rsid w:val="001617AE"/>
    <w:rsid w:val="00161E2F"/>
    <w:rsid w:val="00166EFE"/>
    <w:rsid w:val="001706F1"/>
    <w:rsid w:val="00173954"/>
    <w:rsid w:val="001748FD"/>
    <w:rsid w:val="00175869"/>
    <w:rsid w:val="00175C35"/>
    <w:rsid w:val="001761A4"/>
    <w:rsid w:val="00185D70"/>
    <w:rsid w:val="001907A7"/>
    <w:rsid w:val="00191AF0"/>
    <w:rsid w:val="00193E4F"/>
    <w:rsid w:val="001A18DB"/>
    <w:rsid w:val="001A464C"/>
    <w:rsid w:val="001A7B7E"/>
    <w:rsid w:val="001B3BDC"/>
    <w:rsid w:val="001B5B56"/>
    <w:rsid w:val="001B7AB5"/>
    <w:rsid w:val="001C058A"/>
    <w:rsid w:val="001C58C8"/>
    <w:rsid w:val="001D0CCC"/>
    <w:rsid w:val="001D344E"/>
    <w:rsid w:val="001E111F"/>
    <w:rsid w:val="001E178A"/>
    <w:rsid w:val="001E30A7"/>
    <w:rsid w:val="001E3943"/>
    <w:rsid w:val="001E4E54"/>
    <w:rsid w:val="001E5782"/>
    <w:rsid w:val="001E7CB9"/>
    <w:rsid w:val="001F6025"/>
    <w:rsid w:val="001F6918"/>
    <w:rsid w:val="00201810"/>
    <w:rsid w:val="002053C0"/>
    <w:rsid w:val="0021020C"/>
    <w:rsid w:val="00221DD9"/>
    <w:rsid w:val="00222902"/>
    <w:rsid w:val="002242A7"/>
    <w:rsid w:val="00225BC3"/>
    <w:rsid w:val="00231FC6"/>
    <w:rsid w:val="00233904"/>
    <w:rsid w:val="00234806"/>
    <w:rsid w:val="00234DDC"/>
    <w:rsid w:val="00240A9F"/>
    <w:rsid w:val="00243736"/>
    <w:rsid w:val="0024780A"/>
    <w:rsid w:val="00252FFD"/>
    <w:rsid w:val="00256DE4"/>
    <w:rsid w:val="002614C5"/>
    <w:rsid w:val="00270BE8"/>
    <w:rsid w:val="00272D4E"/>
    <w:rsid w:val="00274F3E"/>
    <w:rsid w:val="002762F6"/>
    <w:rsid w:val="002763C0"/>
    <w:rsid w:val="0028426D"/>
    <w:rsid w:val="00285D16"/>
    <w:rsid w:val="002877B9"/>
    <w:rsid w:val="00287FF9"/>
    <w:rsid w:val="00290482"/>
    <w:rsid w:val="00291CBE"/>
    <w:rsid w:val="002A2DF4"/>
    <w:rsid w:val="002A3101"/>
    <w:rsid w:val="002A6752"/>
    <w:rsid w:val="002B21F9"/>
    <w:rsid w:val="002B336A"/>
    <w:rsid w:val="002B6076"/>
    <w:rsid w:val="002B78CE"/>
    <w:rsid w:val="002C097E"/>
    <w:rsid w:val="002D3F82"/>
    <w:rsid w:val="002D4214"/>
    <w:rsid w:val="002E3E8B"/>
    <w:rsid w:val="002E58D5"/>
    <w:rsid w:val="002F1EED"/>
    <w:rsid w:val="002F3DAC"/>
    <w:rsid w:val="002F5404"/>
    <w:rsid w:val="002F5580"/>
    <w:rsid w:val="002F5DBD"/>
    <w:rsid w:val="00300A97"/>
    <w:rsid w:val="00303A16"/>
    <w:rsid w:val="0030474D"/>
    <w:rsid w:val="003052C9"/>
    <w:rsid w:val="0030531D"/>
    <w:rsid w:val="00306405"/>
    <w:rsid w:val="0031294D"/>
    <w:rsid w:val="003166B4"/>
    <w:rsid w:val="003173A9"/>
    <w:rsid w:val="00320B13"/>
    <w:rsid w:val="00321C1B"/>
    <w:rsid w:val="00331DC5"/>
    <w:rsid w:val="00333336"/>
    <w:rsid w:val="00333B9F"/>
    <w:rsid w:val="00337C7C"/>
    <w:rsid w:val="00350170"/>
    <w:rsid w:val="0035132C"/>
    <w:rsid w:val="003522AC"/>
    <w:rsid w:val="003562D4"/>
    <w:rsid w:val="00362218"/>
    <w:rsid w:val="00363327"/>
    <w:rsid w:val="00371DB9"/>
    <w:rsid w:val="00373322"/>
    <w:rsid w:val="00376E13"/>
    <w:rsid w:val="003802F8"/>
    <w:rsid w:val="00380F80"/>
    <w:rsid w:val="00381DCB"/>
    <w:rsid w:val="00386281"/>
    <w:rsid w:val="00390184"/>
    <w:rsid w:val="00390C9D"/>
    <w:rsid w:val="003946F0"/>
    <w:rsid w:val="003A372F"/>
    <w:rsid w:val="003A67DC"/>
    <w:rsid w:val="003B4344"/>
    <w:rsid w:val="003C0F96"/>
    <w:rsid w:val="003C1003"/>
    <w:rsid w:val="003C214A"/>
    <w:rsid w:val="003C4364"/>
    <w:rsid w:val="003C6063"/>
    <w:rsid w:val="003C6906"/>
    <w:rsid w:val="003C7AC6"/>
    <w:rsid w:val="003D03EE"/>
    <w:rsid w:val="003D1D49"/>
    <w:rsid w:val="003D2029"/>
    <w:rsid w:val="003D5632"/>
    <w:rsid w:val="003D731D"/>
    <w:rsid w:val="003E1921"/>
    <w:rsid w:val="003E408C"/>
    <w:rsid w:val="003F1222"/>
    <w:rsid w:val="003F38FA"/>
    <w:rsid w:val="004001B5"/>
    <w:rsid w:val="004004EC"/>
    <w:rsid w:val="00401517"/>
    <w:rsid w:val="004039CD"/>
    <w:rsid w:val="0040487D"/>
    <w:rsid w:val="00405DE5"/>
    <w:rsid w:val="00414E8C"/>
    <w:rsid w:val="00416BA5"/>
    <w:rsid w:val="00425DE7"/>
    <w:rsid w:val="0043421B"/>
    <w:rsid w:val="00435FBB"/>
    <w:rsid w:val="00440A02"/>
    <w:rsid w:val="004414BF"/>
    <w:rsid w:val="00445410"/>
    <w:rsid w:val="00445A53"/>
    <w:rsid w:val="00456B1A"/>
    <w:rsid w:val="0046301A"/>
    <w:rsid w:val="00471FB1"/>
    <w:rsid w:val="004755AD"/>
    <w:rsid w:val="00475D2E"/>
    <w:rsid w:val="00477ABE"/>
    <w:rsid w:val="00482269"/>
    <w:rsid w:val="00483807"/>
    <w:rsid w:val="004850EC"/>
    <w:rsid w:val="00486EA3"/>
    <w:rsid w:val="00487FB7"/>
    <w:rsid w:val="004902FF"/>
    <w:rsid w:val="00496D1A"/>
    <w:rsid w:val="004A0050"/>
    <w:rsid w:val="004B5835"/>
    <w:rsid w:val="004C006E"/>
    <w:rsid w:val="004C0E91"/>
    <w:rsid w:val="004C558D"/>
    <w:rsid w:val="004C7E44"/>
    <w:rsid w:val="004D4F39"/>
    <w:rsid w:val="004E26A7"/>
    <w:rsid w:val="004E3B95"/>
    <w:rsid w:val="004E4C46"/>
    <w:rsid w:val="004E5322"/>
    <w:rsid w:val="004F675C"/>
    <w:rsid w:val="004F6A2E"/>
    <w:rsid w:val="00505FA4"/>
    <w:rsid w:val="00506493"/>
    <w:rsid w:val="005076CB"/>
    <w:rsid w:val="005121D0"/>
    <w:rsid w:val="00513DD3"/>
    <w:rsid w:val="005166A1"/>
    <w:rsid w:val="00520376"/>
    <w:rsid w:val="005224CC"/>
    <w:rsid w:val="005235A7"/>
    <w:rsid w:val="005235C8"/>
    <w:rsid w:val="00524B2E"/>
    <w:rsid w:val="0052544A"/>
    <w:rsid w:val="00526F74"/>
    <w:rsid w:val="00532D92"/>
    <w:rsid w:val="00534530"/>
    <w:rsid w:val="00535E63"/>
    <w:rsid w:val="00542548"/>
    <w:rsid w:val="0054328B"/>
    <w:rsid w:val="005468B5"/>
    <w:rsid w:val="005613A8"/>
    <w:rsid w:val="005638B3"/>
    <w:rsid w:val="005661D3"/>
    <w:rsid w:val="00566DF6"/>
    <w:rsid w:val="00570DA4"/>
    <w:rsid w:val="00575060"/>
    <w:rsid w:val="0057767E"/>
    <w:rsid w:val="005803E9"/>
    <w:rsid w:val="00586C21"/>
    <w:rsid w:val="00591238"/>
    <w:rsid w:val="00593465"/>
    <w:rsid w:val="00597F01"/>
    <w:rsid w:val="005B331D"/>
    <w:rsid w:val="005C0AC7"/>
    <w:rsid w:val="005D796F"/>
    <w:rsid w:val="005E7DC7"/>
    <w:rsid w:val="006049C5"/>
    <w:rsid w:val="00613E36"/>
    <w:rsid w:val="006252FC"/>
    <w:rsid w:val="00626B82"/>
    <w:rsid w:val="00630DCF"/>
    <w:rsid w:val="0063184E"/>
    <w:rsid w:val="006341FB"/>
    <w:rsid w:val="00634E6C"/>
    <w:rsid w:val="00636382"/>
    <w:rsid w:val="00636476"/>
    <w:rsid w:val="00641250"/>
    <w:rsid w:val="00654A44"/>
    <w:rsid w:val="00656401"/>
    <w:rsid w:val="006704BC"/>
    <w:rsid w:val="00672440"/>
    <w:rsid w:val="006727A3"/>
    <w:rsid w:val="00673BDA"/>
    <w:rsid w:val="00674725"/>
    <w:rsid w:val="00675B14"/>
    <w:rsid w:val="00683262"/>
    <w:rsid w:val="00693CC1"/>
    <w:rsid w:val="006A7D54"/>
    <w:rsid w:val="006B3BA8"/>
    <w:rsid w:val="006B6218"/>
    <w:rsid w:val="006C2D66"/>
    <w:rsid w:val="006C576C"/>
    <w:rsid w:val="006C6125"/>
    <w:rsid w:val="006C6D9A"/>
    <w:rsid w:val="006D00AD"/>
    <w:rsid w:val="006D13AA"/>
    <w:rsid w:val="006D1448"/>
    <w:rsid w:val="006D2250"/>
    <w:rsid w:val="006D4C0D"/>
    <w:rsid w:val="006E57CC"/>
    <w:rsid w:val="006E61A5"/>
    <w:rsid w:val="006E7E4F"/>
    <w:rsid w:val="006F3B19"/>
    <w:rsid w:val="006F5925"/>
    <w:rsid w:val="006F6388"/>
    <w:rsid w:val="0070010E"/>
    <w:rsid w:val="007011E4"/>
    <w:rsid w:val="007017BD"/>
    <w:rsid w:val="00707EDF"/>
    <w:rsid w:val="007103E0"/>
    <w:rsid w:val="00713703"/>
    <w:rsid w:val="0071626F"/>
    <w:rsid w:val="0071794C"/>
    <w:rsid w:val="00721AEC"/>
    <w:rsid w:val="00727960"/>
    <w:rsid w:val="007324A5"/>
    <w:rsid w:val="007339D5"/>
    <w:rsid w:val="00733FB4"/>
    <w:rsid w:val="00745399"/>
    <w:rsid w:val="00751108"/>
    <w:rsid w:val="00751512"/>
    <w:rsid w:val="00751EED"/>
    <w:rsid w:val="00754082"/>
    <w:rsid w:val="00755EAD"/>
    <w:rsid w:val="00767B9B"/>
    <w:rsid w:val="007709C1"/>
    <w:rsid w:val="00774600"/>
    <w:rsid w:val="00775AB0"/>
    <w:rsid w:val="00785974"/>
    <w:rsid w:val="00787F63"/>
    <w:rsid w:val="00795186"/>
    <w:rsid w:val="007B6E8B"/>
    <w:rsid w:val="007C04B2"/>
    <w:rsid w:val="007C0C89"/>
    <w:rsid w:val="007C1801"/>
    <w:rsid w:val="007C7072"/>
    <w:rsid w:val="007D2AEA"/>
    <w:rsid w:val="007D2C02"/>
    <w:rsid w:val="007D3EB5"/>
    <w:rsid w:val="007D4ACB"/>
    <w:rsid w:val="007E281B"/>
    <w:rsid w:val="007E2C17"/>
    <w:rsid w:val="007E4672"/>
    <w:rsid w:val="007E6159"/>
    <w:rsid w:val="007E6CEB"/>
    <w:rsid w:val="007F17BD"/>
    <w:rsid w:val="007F7E8D"/>
    <w:rsid w:val="00801087"/>
    <w:rsid w:val="0080130A"/>
    <w:rsid w:val="00807020"/>
    <w:rsid w:val="0081081F"/>
    <w:rsid w:val="00812133"/>
    <w:rsid w:val="00822932"/>
    <w:rsid w:val="008229F4"/>
    <w:rsid w:val="00824B61"/>
    <w:rsid w:val="00824BD8"/>
    <w:rsid w:val="00840B60"/>
    <w:rsid w:val="00843650"/>
    <w:rsid w:val="008467DA"/>
    <w:rsid w:val="0085062B"/>
    <w:rsid w:val="00850795"/>
    <w:rsid w:val="00850DFC"/>
    <w:rsid w:val="008608FF"/>
    <w:rsid w:val="00862299"/>
    <w:rsid w:val="00862626"/>
    <w:rsid w:val="00864D6C"/>
    <w:rsid w:val="00870289"/>
    <w:rsid w:val="008745F1"/>
    <w:rsid w:val="00885886"/>
    <w:rsid w:val="008861E2"/>
    <w:rsid w:val="00896C72"/>
    <w:rsid w:val="0089735F"/>
    <w:rsid w:val="00897CF3"/>
    <w:rsid w:val="008B3B19"/>
    <w:rsid w:val="008B7B19"/>
    <w:rsid w:val="008C1105"/>
    <w:rsid w:val="008C1791"/>
    <w:rsid w:val="008D04C8"/>
    <w:rsid w:val="008D3DAD"/>
    <w:rsid w:val="008D4332"/>
    <w:rsid w:val="008D65B3"/>
    <w:rsid w:val="008E05A9"/>
    <w:rsid w:val="008E07E9"/>
    <w:rsid w:val="008E1034"/>
    <w:rsid w:val="008E325B"/>
    <w:rsid w:val="008E4229"/>
    <w:rsid w:val="008E73F2"/>
    <w:rsid w:val="008E7C3B"/>
    <w:rsid w:val="008F2884"/>
    <w:rsid w:val="008F6622"/>
    <w:rsid w:val="009023F6"/>
    <w:rsid w:val="00902655"/>
    <w:rsid w:val="00907C8D"/>
    <w:rsid w:val="00907E72"/>
    <w:rsid w:val="00916788"/>
    <w:rsid w:val="00916E26"/>
    <w:rsid w:val="009174EA"/>
    <w:rsid w:val="00920742"/>
    <w:rsid w:val="00921CBC"/>
    <w:rsid w:val="009220CE"/>
    <w:rsid w:val="00924324"/>
    <w:rsid w:val="009244DF"/>
    <w:rsid w:val="009255DB"/>
    <w:rsid w:val="0093356D"/>
    <w:rsid w:val="00935A3F"/>
    <w:rsid w:val="00935CB5"/>
    <w:rsid w:val="00935E3F"/>
    <w:rsid w:val="00941221"/>
    <w:rsid w:val="009439BC"/>
    <w:rsid w:val="009441BB"/>
    <w:rsid w:val="0096182B"/>
    <w:rsid w:val="00970DF9"/>
    <w:rsid w:val="0098078D"/>
    <w:rsid w:val="00994458"/>
    <w:rsid w:val="00995E37"/>
    <w:rsid w:val="00996289"/>
    <w:rsid w:val="009A2D07"/>
    <w:rsid w:val="009A78AE"/>
    <w:rsid w:val="009B324B"/>
    <w:rsid w:val="009B4435"/>
    <w:rsid w:val="009B64FD"/>
    <w:rsid w:val="009C1AB8"/>
    <w:rsid w:val="009C389D"/>
    <w:rsid w:val="009C397A"/>
    <w:rsid w:val="009C3FED"/>
    <w:rsid w:val="009C5B52"/>
    <w:rsid w:val="009C7A83"/>
    <w:rsid w:val="009D6987"/>
    <w:rsid w:val="009E5EFC"/>
    <w:rsid w:val="009F637A"/>
    <w:rsid w:val="009F6984"/>
    <w:rsid w:val="00A02292"/>
    <w:rsid w:val="00A05B91"/>
    <w:rsid w:val="00A0634B"/>
    <w:rsid w:val="00A10536"/>
    <w:rsid w:val="00A1097A"/>
    <w:rsid w:val="00A12EB1"/>
    <w:rsid w:val="00A13135"/>
    <w:rsid w:val="00A2058E"/>
    <w:rsid w:val="00A21DFB"/>
    <w:rsid w:val="00A240C0"/>
    <w:rsid w:val="00A26415"/>
    <w:rsid w:val="00A27437"/>
    <w:rsid w:val="00A279E0"/>
    <w:rsid w:val="00A27F1A"/>
    <w:rsid w:val="00A319E7"/>
    <w:rsid w:val="00A31DC7"/>
    <w:rsid w:val="00A54CB9"/>
    <w:rsid w:val="00A5654D"/>
    <w:rsid w:val="00A622FA"/>
    <w:rsid w:val="00A66389"/>
    <w:rsid w:val="00A67CA3"/>
    <w:rsid w:val="00A70866"/>
    <w:rsid w:val="00A71DB2"/>
    <w:rsid w:val="00A71E3C"/>
    <w:rsid w:val="00A772F1"/>
    <w:rsid w:val="00A7796F"/>
    <w:rsid w:val="00A825C4"/>
    <w:rsid w:val="00A82C27"/>
    <w:rsid w:val="00A848E6"/>
    <w:rsid w:val="00A8701A"/>
    <w:rsid w:val="00A95CB3"/>
    <w:rsid w:val="00A9623C"/>
    <w:rsid w:val="00AA1A8B"/>
    <w:rsid w:val="00AA390C"/>
    <w:rsid w:val="00AB0457"/>
    <w:rsid w:val="00AB5A0C"/>
    <w:rsid w:val="00AB5C76"/>
    <w:rsid w:val="00AD3220"/>
    <w:rsid w:val="00AD5337"/>
    <w:rsid w:val="00AD5FB7"/>
    <w:rsid w:val="00AD6F4A"/>
    <w:rsid w:val="00AE3514"/>
    <w:rsid w:val="00AE3A33"/>
    <w:rsid w:val="00AE6808"/>
    <w:rsid w:val="00AE7350"/>
    <w:rsid w:val="00AF0D04"/>
    <w:rsid w:val="00AF1C92"/>
    <w:rsid w:val="00AF7517"/>
    <w:rsid w:val="00AF7B79"/>
    <w:rsid w:val="00B01E08"/>
    <w:rsid w:val="00B0647F"/>
    <w:rsid w:val="00B1008F"/>
    <w:rsid w:val="00B24697"/>
    <w:rsid w:val="00B33B27"/>
    <w:rsid w:val="00B36661"/>
    <w:rsid w:val="00B43668"/>
    <w:rsid w:val="00B45E9B"/>
    <w:rsid w:val="00B5238E"/>
    <w:rsid w:val="00B52657"/>
    <w:rsid w:val="00B52A4B"/>
    <w:rsid w:val="00B5337A"/>
    <w:rsid w:val="00B56D87"/>
    <w:rsid w:val="00B60FEE"/>
    <w:rsid w:val="00B644F9"/>
    <w:rsid w:val="00B725B1"/>
    <w:rsid w:val="00B8125C"/>
    <w:rsid w:val="00B85C36"/>
    <w:rsid w:val="00B90A87"/>
    <w:rsid w:val="00B97A43"/>
    <w:rsid w:val="00BA0802"/>
    <w:rsid w:val="00BA0B94"/>
    <w:rsid w:val="00BA0F58"/>
    <w:rsid w:val="00BA124B"/>
    <w:rsid w:val="00BA2D1B"/>
    <w:rsid w:val="00BB0B66"/>
    <w:rsid w:val="00BB31DE"/>
    <w:rsid w:val="00BB4FF4"/>
    <w:rsid w:val="00BB5C3A"/>
    <w:rsid w:val="00BB6C50"/>
    <w:rsid w:val="00BB7222"/>
    <w:rsid w:val="00BC06B6"/>
    <w:rsid w:val="00BC0F19"/>
    <w:rsid w:val="00BD5F50"/>
    <w:rsid w:val="00BE3207"/>
    <w:rsid w:val="00BE3CFF"/>
    <w:rsid w:val="00BF0AFB"/>
    <w:rsid w:val="00BF0C78"/>
    <w:rsid w:val="00BF25AB"/>
    <w:rsid w:val="00BF3014"/>
    <w:rsid w:val="00BF5A57"/>
    <w:rsid w:val="00C010F6"/>
    <w:rsid w:val="00C01841"/>
    <w:rsid w:val="00C032BF"/>
    <w:rsid w:val="00C048BC"/>
    <w:rsid w:val="00C11B9A"/>
    <w:rsid w:val="00C120B3"/>
    <w:rsid w:val="00C234CF"/>
    <w:rsid w:val="00C23D09"/>
    <w:rsid w:val="00C23E48"/>
    <w:rsid w:val="00C2448C"/>
    <w:rsid w:val="00C36305"/>
    <w:rsid w:val="00C373CD"/>
    <w:rsid w:val="00C44DC4"/>
    <w:rsid w:val="00C4793B"/>
    <w:rsid w:val="00C47C17"/>
    <w:rsid w:val="00C53355"/>
    <w:rsid w:val="00C533FE"/>
    <w:rsid w:val="00C63856"/>
    <w:rsid w:val="00C66074"/>
    <w:rsid w:val="00C76FF7"/>
    <w:rsid w:val="00C827DA"/>
    <w:rsid w:val="00C84041"/>
    <w:rsid w:val="00C8798A"/>
    <w:rsid w:val="00C910D9"/>
    <w:rsid w:val="00CA1A16"/>
    <w:rsid w:val="00CB53E8"/>
    <w:rsid w:val="00CD0DA6"/>
    <w:rsid w:val="00CD2843"/>
    <w:rsid w:val="00CD6640"/>
    <w:rsid w:val="00CD6DB1"/>
    <w:rsid w:val="00CF187E"/>
    <w:rsid w:val="00CF6757"/>
    <w:rsid w:val="00D06387"/>
    <w:rsid w:val="00D0685F"/>
    <w:rsid w:val="00D13965"/>
    <w:rsid w:val="00D17168"/>
    <w:rsid w:val="00D2383F"/>
    <w:rsid w:val="00D251C6"/>
    <w:rsid w:val="00D264E5"/>
    <w:rsid w:val="00D31D7F"/>
    <w:rsid w:val="00D415FE"/>
    <w:rsid w:val="00D43A2A"/>
    <w:rsid w:val="00D44E37"/>
    <w:rsid w:val="00D5027A"/>
    <w:rsid w:val="00D51089"/>
    <w:rsid w:val="00D53B87"/>
    <w:rsid w:val="00D6055A"/>
    <w:rsid w:val="00D612B0"/>
    <w:rsid w:val="00D6797D"/>
    <w:rsid w:val="00D703C0"/>
    <w:rsid w:val="00D70523"/>
    <w:rsid w:val="00D71FEC"/>
    <w:rsid w:val="00D77B84"/>
    <w:rsid w:val="00D82108"/>
    <w:rsid w:val="00D86974"/>
    <w:rsid w:val="00D91028"/>
    <w:rsid w:val="00D94AEB"/>
    <w:rsid w:val="00D951F7"/>
    <w:rsid w:val="00DA1658"/>
    <w:rsid w:val="00DC05F0"/>
    <w:rsid w:val="00DC1278"/>
    <w:rsid w:val="00DC19C7"/>
    <w:rsid w:val="00DC2A82"/>
    <w:rsid w:val="00DC3658"/>
    <w:rsid w:val="00DC3F4A"/>
    <w:rsid w:val="00DD0BFB"/>
    <w:rsid w:val="00DD21A2"/>
    <w:rsid w:val="00DD68E4"/>
    <w:rsid w:val="00DE3DB3"/>
    <w:rsid w:val="00DE5955"/>
    <w:rsid w:val="00DF1C37"/>
    <w:rsid w:val="00DF3560"/>
    <w:rsid w:val="00DF7084"/>
    <w:rsid w:val="00DF7682"/>
    <w:rsid w:val="00E04CF0"/>
    <w:rsid w:val="00E1280E"/>
    <w:rsid w:val="00E20230"/>
    <w:rsid w:val="00E205BD"/>
    <w:rsid w:val="00E206A0"/>
    <w:rsid w:val="00E22702"/>
    <w:rsid w:val="00E230D1"/>
    <w:rsid w:val="00E33148"/>
    <w:rsid w:val="00E37C62"/>
    <w:rsid w:val="00E41214"/>
    <w:rsid w:val="00E42157"/>
    <w:rsid w:val="00E425F6"/>
    <w:rsid w:val="00E449CB"/>
    <w:rsid w:val="00E478AD"/>
    <w:rsid w:val="00E57647"/>
    <w:rsid w:val="00E57942"/>
    <w:rsid w:val="00E65D8B"/>
    <w:rsid w:val="00E70D55"/>
    <w:rsid w:val="00E71F45"/>
    <w:rsid w:val="00E7481B"/>
    <w:rsid w:val="00E754FA"/>
    <w:rsid w:val="00E75633"/>
    <w:rsid w:val="00E80A79"/>
    <w:rsid w:val="00E84A36"/>
    <w:rsid w:val="00E93D2D"/>
    <w:rsid w:val="00EA110D"/>
    <w:rsid w:val="00EA1834"/>
    <w:rsid w:val="00EA3C91"/>
    <w:rsid w:val="00EA6FF5"/>
    <w:rsid w:val="00EA7844"/>
    <w:rsid w:val="00EB06C4"/>
    <w:rsid w:val="00EB415A"/>
    <w:rsid w:val="00EB707F"/>
    <w:rsid w:val="00EC56EF"/>
    <w:rsid w:val="00EC5CE8"/>
    <w:rsid w:val="00EC6B7F"/>
    <w:rsid w:val="00EC7F0E"/>
    <w:rsid w:val="00ED0C46"/>
    <w:rsid w:val="00EE0FA6"/>
    <w:rsid w:val="00EE1962"/>
    <w:rsid w:val="00EE63C1"/>
    <w:rsid w:val="00EF2C09"/>
    <w:rsid w:val="00EF3CE7"/>
    <w:rsid w:val="00EF5A5A"/>
    <w:rsid w:val="00EF636D"/>
    <w:rsid w:val="00EF6625"/>
    <w:rsid w:val="00EF757E"/>
    <w:rsid w:val="00F039AF"/>
    <w:rsid w:val="00F06C4C"/>
    <w:rsid w:val="00F11F94"/>
    <w:rsid w:val="00F1276A"/>
    <w:rsid w:val="00F13C8F"/>
    <w:rsid w:val="00F23574"/>
    <w:rsid w:val="00F27B73"/>
    <w:rsid w:val="00F44071"/>
    <w:rsid w:val="00F44213"/>
    <w:rsid w:val="00F47B4B"/>
    <w:rsid w:val="00F53548"/>
    <w:rsid w:val="00F54560"/>
    <w:rsid w:val="00F56F87"/>
    <w:rsid w:val="00F57582"/>
    <w:rsid w:val="00F70A89"/>
    <w:rsid w:val="00F72386"/>
    <w:rsid w:val="00F75FCC"/>
    <w:rsid w:val="00F83A9E"/>
    <w:rsid w:val="00F96577"/>
    <w:rsid w:val="00FA1944"/>
    <w:rsid w:val="00FA4897"/>
    <w:rsid w:val="00FA69AE"/>
    <w:rsid w:val="00FA6A70"/>
    <w:rsid w:val="00FB0832"/>
    <w:rsid w:val="00FB1BE4"/>
    <w:rsid w:val="00FB1D17"/>
    <w:rsid w:val="00FB61BB"/>
    <w:rsid w:val="00FB7E5F"/>
    <w:rsid w:val="00FC1452"/>
    <w:rsid w:val="00FC38C5"/>
    <w:rsid w:val="00FC4E39"/>
    <w:rsid w:val="00FC77BE"/>
    <w:rsid w:val="00FD3BFD"/>
    <w:rsid w:val="00FD62D7"/>
    <w:rsid w:val="00FE565A"/>
    <w:rsid w:val="00FE5B93"/>
    <w:rsid w:val="00FF1190"/>
    <w:rsid w:val="00FF20A6"/>
    <w:rsid w:val="66F046B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A3AF"/>
  <w15:chartTrackingRefBased/>
  <w15:docId w15:val="{2F8625DB-F6D8-4D8C-9706-DF7DF00F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029"/>
    <w:rPr>
      <w:color w:val="0000FF"/>
      <w:u w:val="single"/>
    </w:rPr>
  </w:style>
  <w:style w:type="paragraph" w:styleId="Header">
    <w:name w:val="header"/>
    <w:basedOn w:val="Normal"/>
    <w:link w:val="HeaderChar"/>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rsid w:val="003D2029"/>
  </w:style>
  <w:style w:type="paragraph" w:styleId="Footer">
    <w:name w:val="footer"/>
    <w:basedOn w:val="Normal"/>
    <w:link w:val="FooterChar"/>
    <w:uiPriority w:val="99"/>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3D2029"/>
  </w:style>
  <w:style w:type="paragraph" w:styleId="NoSpacing">
    <w:name w:val="No Spacing"/>
    <w:link w:val="NoSpacingChar"/>
    <w:uiPriority w:val="1"/>
    <w:qFormat/>
    <w:rsid w:val="003D2029"/>
    <w:pPr>
      <w:spacing w:after="0" w:line="240" w:lineRule="auto"/>
    </w:pPr>
  </w:style>
  <w:style w:type="character" w:customStyle="1" w:styleId="NoSpacingChar">
    <w:name w:val="No Spacing Char"/>
    <w:basedOn w:val="DefaultParagraphFont"/>
    <w:link w:val="NoSpacing"/>
    <w:uiPriority w:val="1"/>
    <w:locked/>
    <w:rsid w:val="003D2029"/>
  </w:style>
  <w:style w:type="character" w:customStyle="1" w:styleId="s1">
    <w:name w:val="s1"/>
    <w:basedOn w:val="DefaultParagraphFont"/>
    <w:rsid w:val="003D2029"/>
  </w:style>
  <w:style w:type="character" w:styleId="CommentReference">
    <w:name w:val="annotation reference"/>
    <w:basedOn w:val="DefaultParagraphFont"/>
    <w:uiPriority w:val="99"/>
    <w:semiHidden/>
    <w:unhideWhenUsed/>
    <w:rsid w:val="00995E37"/>
    <w:rPr>
      <w:sz w:val="16"/>
      <w:szCs w:val="16"/>
    </w:rPr>
  </w:style>
  <w:style w:type="paragraph" w:styleId="CommentText">
    <w:name w:val="annotation text"/>
    <w:basedOn w:val="Normal"/>
    <w:link w:val="CommentTextChar"/>
    <w:uiPriority w:val="99"/>
    <w:unhideWhenUsed/>
    <w:rsid w:val="00995E37"/>
    <w:rPr>
      <w:rFonts w:ascii="Calibri" w:eastAsiaTheme="minorHAnsi" w:hAnsi="Calibri" w:cs="Calibri"/>
      <w:sz w:val="20"/>
      <w:szCs w:val="20"/>
      <w:lang w:val="en-IN"/>
    </w:rPr>
  </w:style>
  <w:style w:type="character" w:customStyle="1" w:styleId="CommentTextChar">
    <w:name w:val="Comment Text Char"/>
    <w:basedOn w:val="DefaultParagraphFont"/>
    <w:link w:val="CommentText"/>
    <w:uiPriority w:val="99"/>
    <w:rsid w:val="00995E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E37"/>
    <w:rPr>
      <w:b/>
      <w:bCs/>
    </w:rPr>
  </w:style>
  <w:style w:type="character" w:customStyle="1" w:styleId="CommentSubjectChar">
    <w:name w:val="Comment Subject Char"/>
    <w:basedOn w:val="CommentTextChar"/>
    <w:link w:val="CommentSubject"/>
    <w:uiPriority w:val="99"/>
    <w:semiHidden/>
    <w:rsid w:val="00995E37"/>
    <w:rPr>
      <w:rFonts w:ascii="Calibri" w:hAnsi="Calibri" w:cs="Calibri"/>
      <w:b/>
      <w:bCs/>
      <w:sz w:val="20"/>
      <w:szCs w:val="20"/>
    </w:rPr>
  </w:style>
  <w:style w:type="paragraph" w:styleId="Revision">
    <w:name w:val="Revision"/>
    <w:hidden/>
    <w:uiPriority w:val="99"/>
    <w:semiHidden/>
    <w:rsid w:val="00DC19C7"/>
    <w:pPr>
      <w:spacing w:after="0" w:line="240" w:lineRule="auto"/>
    </w:pPr>
    <w:rPr>
      <w:rFonts w:ascii="Calibri" w:hAnsi="Calibri" w:cs="Calibri"/>
    </w:rPr>
  </w:style>
  <w:style w:type="table" w:styleId="TableGrid">
    <w:name w:val="Table Grid"/>
    <w:basedOn w:val="TableNormal"/>
    <w:uiPriority w:val="39"/>
    <w:rsid w:val="0094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9E7"/>
    <w:rPr>
      <w:color w:val="605E5C"/>
      <w:shd w:val="clear" w:color="auto" w:fill="E1DFDD"/>
    </w:rPr>
  </w:style>
  <w:style w:type="character" w:styleId="FollowedHyperlink">
    <w:name w:val="FollowedHyperlink"/>
    <w:basedOn w:val="DefaultParagraphFont"/>
    <w:uiPriority w:val="99"/>
    <w:semiHidden/>
    <w:unhideWhenUsed/>
    <w:rsid w:val="00F72386"/>
    <w:rPr>
      <w:color w:val="954F72" w:themeColor="followedHyperlink"/>
      <w:u w:val="single"/>
    </w:rPr>
  </w:style>
  <w:style w:type="character" w:customStyle="1" w:styleId="xn-location">
    <w:name w:val="xn-location"/>
    <w:basedOn w:val="DefaultParagraphFont"/>
    <w:rsid w:val="004902FF"/>
  </w:style>
  <w:style w:type="character" w:customStyle="1" w:styleId="xn-chron">
    <w:name w:val="xn-chron"/>
    <w:basedOn w:val="DefaultParagraphFont"/>
    <w:rsid w:val="004902FF"/>
  </w:style>
  <w:style w:type="character" w:styleId="Emphasis">
    <w:name w:val="Emphasis"/>
    <w:basedOn w:val="DefaultParagraphFont"/>
    <w:uiPriority w:val="20"/>
    <w:qFormat/>
    <w:rsid w:val="004902FF"/>
    <w:rPr>
      <w:i/>
      <w:iCs/>
    </w:rPr>
  </w:style>
  <w:style w:type="paragraph" w:styleId="NormalWeb">
    <w:name w:val="Normal (Web)"/>
    <w:basedOn w:val="Normal"/>
    <w:uiPriority w:val="99"/>
    <w:unhideWhenUsed/>
    <w:rsid w:val="008E05A9"/>
    <w:pPr>
      <w:spacing w:before="100" w:beforeAutospacing="1" w:after="100" w:afterAutospacing="1"/>
    </w:pPr>
    <w:rPr>
      <w:kern w:val="2"/>
      <w:lang w:eastAsia="zh-CN"/>
      <w14:ligatures w14:val="standardContextual"/>
    </w:rPr>
  </w:style>
  <w:style w:type="paragraph" w:customStyle="1" w:styleId="BodytextAgency">
    <w:name w:val="Body text (Agency)"/>
    <w:basedOn w:val="Normal"/>
    <w:link w:val="BodytextAgencyChar"/>
    <w:qFormat/>
    <w:rsid w:val="008E05A9"/>
    <w:pPr>
      <w:spacing w:after="140" w:line="280" w:lineRule="atLeast"/>
    </w:pPr>
    <w:rPr>
      <w:rFonts w:ascii="Verdana" w:eastAsia="Verdana" w:hAnsi="Verdana" w:cs="Verdana"/>
      <w:sz w:val="18"/>
      <w:szCs w:val="18"/>
      <w:lang w:val="en-GB" w:eastAsia="en-GB"/>
      <w14:ligatures w14:val="standardContextual"/>
    </w:rPr>
  </w:style>
  <w:style w:type="character" w:customStyle="1" w:styleId="BodytextAgencyChar">
    <w:name w:val="Body text (Agency) Char"/>
    <w:basedOn w:val="DefaultParagraphFont"/>
    <w:link w:val="BodytextAgency"/>
    <w:qFormat/>
    <w:rsid w:val="008E05A9"/>
    <w:rPr>
      <w:rFonts w:ascii="Verdana" w:eastAsia="Verdana" w:hAnsi="Verdana" w:cs="Verdana"/>
      <w:sz w:val="18"/>
      <w:szCs w:val="18"/>
      <w:lang w:val="en-GB" w:eastAsia="en-GB"/>
      <w14:ligatures w14:val="standardContextual"/>
    </w:rPr>
  </w:style>
  <w:style w:type="character" w:styleId="Strong">
    <w:name w:val="Strong"/>
    <w:basedOn w:val="DefaultParagraphFont"/>
    <w:uiPriority w:val="22"/>
    <w:qFormat/>
    <w:rsid w:val="00F53548"/>
    <w:rPr>
      <w:b/>
      <w:bCs/>
    </w:rPr>
  </w:style>
  <w:style w:type="character" w:customStyle="1" w:styleId="hgkelc">
    <w:name w:val="hgkelc"/>
    <w:basedOn w:val="DefaultParagraphFont"/>
    <w:rsid w:val="00FB61BB"/>
  </w:style>
  <w:style w:type="paragraph" w:styleId="ListParagraph">
    <w:name w:val="List Paragraph"/>
    <w:basedOn w:val="Normal"/>
    <w:uiPriority w:val="34"/>
    <w:qFormat/>
    <w:rsid w:val="009E5EFC"/>
    <w:pPr>
      <w:ind w:left="720"/>
    </w:pPr>
    <w:rPr>
      <w:rFonts w:ascii="Calibri" w:eastAsiaTheme="minorHAnsi" w:hAnsi="Calibri" w:cs="Calibri"/>
      <w:sz w:val="22"/>
      <w:szCs w:val="22"/>
      <w:lang w:eastAsia="en-IN"/>
      <w14:ligatures w14:val="standardContextual"/>
    </w:rPr>
  </w:style>
  <w:style w:type="paragraph" w:customStyle="1" w:styleId="Default">
    <w:name w:val="Default"/>
    <w:rsid w:val="009E5EF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f01">
    <w:name w:val="cf01"/>
    <w:basedOn w:val="DefaultParagraphFont"/>
    <w:rsid w:val="00A05B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751">
      <w:bodyDiv w:val="1"/>
      <w:marLeft w:val="0"/>
      <w:marRight w:val="0"/>
      <w:marTop w:val="0"/>
      <w:marBottom w:val="0"/>
      <w:divBdr>
        <w:top w:val="none" w:sz="0" w:space="0" w:color="auto"/>
        <w:left w:val="none" w:sz="0" w:space="0" w:color="auto"/>
        <w:bottom w:val="none" w:sz="0" w:space="0" w:color="auto"/>
        <w:right w:val="none" w:sz="0" w:space="0" w:color="auto"/>
      </w:divBdr>
      <w:divsChild>
        <w:div w:id="238911324">
          <w:marLeft w:val="0"/>
          <w:marRight w:val="0"/>
          <w:marTop w:val="0"/>
          <w:marBottom w:val="0"/>
          <w:divBdr>
            <w:top w:val="none" w:sz="0" w:space="0" w:color="auto"/>
            <w:left w:val="none" w:sz="0" w:space="0" w:color="auto"/>
            <w:bottom w:val="none" w:sz="0" w:space="0" w:color="auto"/>
            <w:right w:val="none" w:sz="0" w:space="0" w:color="auto"/>
          </w:divBdr>
          <w:divsChild>
            <w:div w:id="1719621061">
              <w:marLeft w:val="0"/>
              <w:marRight w:val="0"/>
              <w:marTop w:val="0"/>
              <w:marBottom w:val="180"/>
              <w:divBdr>
                <w:top w:val="none" w:sz="0" w:space="0" w:color="auto"/>
                <w:left w:val="none" w:sz="0" w:space="0" w:color="auto"/>
                <w:bottom w:val="none" w:sz="0" w:space="0" w:color="auto"/>
                <w:right w:val="none" w:sz="0" w:space="0" w:color="auto"/>
              </w:divBdr>
              <w:divsChild>
                <w:div w:id="7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325">
          <w:marLeft w:val="0"/>
          <w:marRight w:val="0"/>
          <w:marTop w:val="0"/>
          <w:marBottom w:val="0"/>
          <w:divBdr>
            <w:top w:val="none" w:sz="0" w:space="0" w:color="auto"/>
            <w:left w:val="none" w:sz="0" w:space="0" w:color="auto"/>
            <w:bottom w:val="none" w:sz="0" w:space="0" w:color="auto"/>
            <w:right w:val="none" w:sz="0" w:space="0" w:color="auto"/>
          </w:divBdr>
        </w:div>
      </w:divsChild>
    </w:div>
    <w:div w:id="1108503725">
      <w:bodyDiv w:val="1"/>
      <w:marLeft w:val="0"/>
      <w:marRight w:val="0"/>
      <w:marTop w:val="0"/>
      <w:marBottom w:val="0"/>
      <w:divBdr>
        <w:top w:val="none" w:sz="0" w:space="0" w:color="auto"/>
        <w:left w:val="none" w:sz="0" w:space="0" w:color="auto"/>
        <w:bottom w:val="none" w:sz="0" w:space="0" w:color="auto"/>
        <w:right w:val="none" w:sz="0" w:space="0" w:color="auto"/>
      </w:divBdr>
    </w:div>
    <w:div w:id="1279683480">
      <w:bodyDiv w:val="1"/>
      <w:marLeft w:val="0"/>
      <w:marRight w:val="0"/>
      <w:marTop w:val="0"/>
      <w:marBottom w:val="0"/>
      <w:divBdr>
        <w:top w:val="none" w:sz="0" w:space="0" w:color="auto"/>
        <w:left w:val="none" w:sz="0" w:space="0" w:color="auto"/>
        <w:bottom w:val="none" w:sz="0" w:space="0" w:color="auto"/>
        <w:right w:val="none" w:sz="0" w:space="0" w:color="auto"/>
      </w:divBdr>
    </w:div>
    <w:div w:id="1483699019">
      <w:bodyDiv w:val="1"/>
      <w:marLeft w:val="0"/>
      <w:marRight w:val="0"/>
      <w:marTop w:val="0"/>
      <w:marBottom w:val="0"/>
      <w:divBdr>
        <w:top w:val="none" w:sz="0" w:space="0" w:color="auto"/>
        <w:left w:val="none" w:sz="0" w:space="0" w:color="auto"/>
        <w:bottom w:val="none" w:sz="0" w:space="0" w:color="auto"/>
        <w:right w:val="none" w:sz="0" w:space="0" w:color="auto"/>
      </w:divBdr>
    </w:div>
    <w:div w:id="1507943549">
      <w:bodyDiv w:val="1"/>
      <w:marLeft w:val="0"/>
      <w:marRight w:val="0"/>
      <w:marTop w:val="0"/>
      <w:marBottom w:val="0"/>
      <w:divBdr>
        <w:top w:val="none" w:sz="0" w:space="0" w:color="auto"/>
        <w:left w:val="none" w:sz="0" w:space="0" w:color="auto"/>
        <w:bottom w:val="none" w:sz="0" w:space="0" w:color="auto"/>
        <w:right w:val="none" w:sz="0" w:space="0" w:color="auto"/>
      </w:divBdr>
    </w:div>
    <w:div w:id="21385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BioconBiologics?t=RmwduqHNvTXcHFq8ElYKMw&amp;s=08" TargetMode="External"/><Relationship Id="rId18" Type="http://schemas.openxmlformats.org/officeDocument/2006/relationships/hyperlink" Target="mailto:seema.ahuja@biocon.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ioconbiologics.com/" TargetMode="External"/><Relationship Id="rId17" Type="http://schemas.openxmlformats.org/officeDocument/2006/relationships/hyperlink" Target="https://www.linkedin.com/company/bioc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x.com/Bioconlimited?t=ASMOvAKEj4KbJtu-_n5K3w&amp;s=08" TargetMode="External"/><Relationship Id="rId20" Type="http://schemas.openxmlformats.org/officeDocument/2006/relationships/hyperlink" Target="mailto:saurabh.paliwal@bioc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medwatch"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ioc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nce.longwell@bioc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bioconbiologic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2d6363-6aa5-4dc7-b310-3b526891ed29" xsi:nil="true"/>
    <lcf76f155ced4ddcb4097134ff3c332f xmlns="bd349600-a359-4c72-ad9f-8666ac96aa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D452415508F94382DF2316BCC0E2FF" ma:contentTypeVersion="13" ma:contentTypeDescription="Create a new document." ma:contentTypeScope="" ma:versionID="aaa41d7ad5ae140492b8538ce4e6fea7">
  <xsd:schema xmlns:xsd="http://www.w3.org/2001/XMLSchema" xmlns:xs="http://www.w3.org/2001/XMLSchema" xmlns:p="http://schemas.microsoft.com/office/2006/metadata/properties" xmlns:ns2="bd349600-a359-4c72-ad9f-8666ac96aa21" xmlns:ns3="3b2d6363-6aa5-4dc7-b310-3b526891ed29" targetNamespace="http://schemas.microsoft.com/office/2006/metadata/properties" ma:root="true" ma:fieldsID="fd6e6bfba5a4c26e81a3364d21ea8846" ns2:_="" ns3:_="">
    <xsd:import namespace="bd349600-a359-4c72-ad9f-8666ac96aa21"/>
    <xsd:import namespace="3b2d6363-6aa5-4dc7-b310-3b526891e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49600-a359-4c72-ad9f-8666ac96a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cc4da-0e40-407f-b6c5-d3eec7ba9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6363-6aa5-4dc7-b310-3b526891e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6ee3c-e64b-46f8-9103-1768e1542f29}" ma:internalName="TaxCatchAll" ma:showField="CatchAllData" ma:web="3b2d6363-6aa5-4dc7-b310-3b526891e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E29D-7DF6-46E9-B71D-73765099B732}">
  <ds:schemaRefs>
    <ds:schemaRef ds:uri="http://schemas.openxmlformats.org/officeDocument/2006/bibliography"/>
  </ds:schemaRefs>
</ds:datastoreItem>
</file>

<file path=customXml/itemProps2.xml><?xml version="1.0" encoding="utf-8"?>
<ds:datastoreItem xmlns:ds="http://schemas.openxmlformats.org/officeDocument/2006/customXml" ds:itemID="{2E1380ED-623C-4A77-A4B1-EB59E0B9636E}">
  <ds:schemaRefs>
    <ds:schemaRef ds:uri="http://schemas.microsoft.com/office/2006/metadata/properties"/>
    <ds:schemaRef ds:uri="http://schemas.microsoft.com/office/infopath/2007/PartnerControls"/>
    <ds:schemaRef ds:uri="f155748a-3fd6-4e40-beaa-6fafee9ea01d"/>
  </ds:schemaRefs>
</ds:datastoreItem>
</file>

<file path=customXml/itemProps3.xml><?xml version="1.0" encoding="utf-8"?>
<ds:datastoreItem xmlns:ds="http://schemas.openxmlformats.org/officeDocument/2006/customXml" ds:itemID="{16A90E51-85E5-4643-8660-146E720A5202}">
  <ds:schemaRefs>
    <ds:schemaRef ds:uri="http://schemas.microsoft.com/sharepoint/v3/contenttype/forms"/>
  </ds:schemaRefs>
</ds:datastoreItem>
</file>

<file path=customXml/itemProps4.xml><?xml version="1.0" encoding="utf-8"?>
<ds:datastoreItem xmlns:ds="http://schemas.openxmlformats.org/officeDocument/2006/customXml" ds:itemID="{DA122C46-D7C8-4E54-9F38-D82E9F2EF5E0}"/>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Rumman Ahmed/GLOBAL COMMUNICATIONS/BBL</dc:creator>
  <cp:keywords/>
  <dc:description/>
  <cp:lastModifiedBy>Stephanie Record Wasco/COMMERCIAL/BBUS</cp:lastModifiedBy>
  <cp:revision>2</cp:revision>
  <cp:lastPrinted>2023-11-22T05:57:00Z</cp:lastPrinted>
  <dcterms:created xsi:type="dcterms:W3CDTF">2025-04-10T02:10:00Z</dcterms:created>
  <dcterms:modified xsi:type="dcterms:W3CDTF">2025-04-10T02:10:00Z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0x010100D2D452415508F94382DF2316BCC0E2FF</vt:lpwstr>
  </property>
</Properties>
</file>